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A0C3B" w:rsidRDefault="008D4990">
      <w:pPr>
        <w:rPr>
          <w:sz w:val="24"/>
          <w:szCs w:val="24"/>
        </w:rPr>
      </w:pPr>
      <w:bookmarkStart w:id="0" w:name="_gjdgxs" w:colFirst="0" w:colLast="0"/>
      <w:bookmarkStart w:id="1" w:name="_GoBack"/>
      <w:bookmarkEnd w:id="0"/>
      <w:bookmarkEnd w:id="1"/>
      <w:r>
        <w:rPr>
          <w:sz w:val="24"/>
          <w:szCs w:val="24"/>
        </w:rPr>
        <w:t>Why SEL by the Statistics</w:t>
      </w:r>
    </w:p>
    <w:p w14:paraId="00000002" w14:textId="77777777" w:rsidR="006A0C3B" w:rsidRDefault="008D4990">
      <w:pPr>
        <w:rPr>
          <w:sz w:val="24"/>
          <w:szCs w:val="24"/>
          <w:u w:val="single"/>
        </w:rPr>
      </w:pPr>
      <w:bookmarkStart w:id="2" w:name="_egnvmim816p" w:colFirst="0" w:colLast="0"/>
      <w:bookmarkEnd w:id="2"/>
      <w:r>
        <w:rPr>
          <w:sz w:val="24"/>
          <w:szCs w:val="24"/>
          <w:u w:val="single"/>
        </w:rPr>
        <w:t>Activity 1 TASK Card</w:t>
      </w:r>
    </w:p>
    <w:p w14:paraId="00000003" w14:textId="77777777" w:rsidR="006A0C3B" w:rsidRDefault="008D4990">
      <w:pPr>
        <w:rPr>
          <w:sz w:val="24"/>
          <w:szCs w:val="24"/>
        </w:rPr>
      </w:pPr>
      <w:bookmarkStart w:id="3" w:name="_qh7qnfbx34ky" w:colFirst="0" w:colLast="0"/>
      <w:bookmarkEnd w:id="3"/>
      <w:r>
        <w:rPr>
          <w:sz w:val="24"/>
          <w:szCs w:val="24"/>
        </w:rPr>
        <w:t>Preparation:</w:t>
      </w:r>
    </w:p>
    <w:p w14:paraId="00000004" w14:textId="77777777" w:rsidR="006A0C3B" w:rsidRDefault="008D4990">
      <w:pPr>
        <w:numPr>
          <w:ilvl w:val="0"/>
          <w:numId w:val="1"/>
        </w:numPr>
        <w:spacing w:after="0"/>
        <w:rPr>
          <w:sz w:val="24"/>
          <w:szCs w:val="24"/>
        </w:rPr>
      </w:pPr>
      <w:bookmarkStart w:id="4" w:name="_3zaykn12qq0z" w:colFirst="0" w:colLast="0"/>
      <w:bookmarkEnd w:id="4"/>
      <w:r>
        <w:rPr>
          <w:sz w:val="24"/>
          <w:szCs w:val="24"/>
        </w:rPr>
        <w:t>Print copies of quotes</w:t>
      </w:r>
    </w:p>
    <w:p w14:paraId="00000005" w14:textId="77777777" w:rsidR="006A0C3B" w:rsidRDefault="008D4990">
      <w:pPr>
        <w:numPr>
          <w:ilvl w:val="0"/>
          <w:numId w:val="1"/>
        </w:numPr>
        <w:spacing w:after="0"/>
        <w:rPr>
          <w:sz w:val="24"/>
          <w:szCs w:val="24"/>
        </w:rPr>
      </w:pPr>
      <w:bookmarkStart w:id="5" w:name="_qz3tvtrbpwgj" w:colFirst="0" w:colLast="0"/>
      <w:bookmarkEnd w:id="5"/>
      <w:r>
        <w:rPr>
          <w:sz w:val="24"/>
          <w:szCs w:val="24"/>
        </w:rPr>
        <w:t xml:space="preserve">Cut out each statistic </w:t>
      </w:r>
    </w:p>
    <w:p w14:paraId="00000006" w14:textId="77777777" w:rsidR="006A0C3B" w:rsidRDefault="008D4990">
      <w:pPr>
        <w:numPr>
          <w:ilvl w:val="0"/>
          <w:numId w:val="1"/>
        </w:numPr>
        <w:rPr>
          <w:sz w:val="24"/>
          <w:szCs w:val="24"/>
        </w:rPr>
      </w:pPr>
      <w:bookmarkStart w:id="6" w:name="_hjufk055tl7o" w:colFirst="0" w:colLast="0"/>
      <w:bookmarkEnd w:id="6"/>
      <w:r>
        <w:rPr>
          <w:sz w:val="24"/>
          <w:szCs w:val="24"/>
        </w:rPr>
        <w:t>Put each cut-out statistic in an envelope. i.e., Al College Readiness statistics go in one envelope. *Do not put the name of the theme in the envelope</w:t>
      </w:r>
    </w:p>
    <w:p w14:paraId="00000007" w14:textId="77777777" w:rsidR="006A0C3B" w:rsidRDefault="008D4990">
      <w:pPr>
        <w:rPr>
          <w:sz w:val="24"/>
          <w:szCs w:val="24"/>
        </w:rPr>
      </w:pPr>
      <w:bookmarkStart w:id="7" w:name="_ac01kq9g9bhd" w:colFirst="0" w:colLast="0"/>
      <w:bookmarkEnd w:id="7"/>
      <w:r>
        <w:rPr>
          <w:sz w:val="24"/>
          <w:szCs w:val="24"/>
        </w:rPr>
        <w:t>Process:</w:t>
      </w:r>
    </w:p>
    <w:p w14:paraId="00000008" w14:textId="77777777" w:rsidR="006A0C3B" w:rsidRDefault="008D4990">
      <w:pPr>
        <w:rPr>
          <w:sz w:val="24"/>
          <w:szCs w:val="24"/>
        </w:rPr>
      </w:pPr>
      <w:bookmarkStart w:id="8" w:name="_vc1ehwl71shz" w:colFirst="0" w:colLast="0"/>
      <w:bookmarkEnd w:id="8"/>
      <w:r>
        <w:rPr>
          <w:sz w:val="24"/>
          <w:szCs w:val="24"/>
        </w:rPr>
        <w:t>Have the group count off by 6</w:t>
      </w:r>
    </w:p>
    <w:p w14:paraId="00000009" w14:textId="77777777" w:rsidR="006A0C3B" w:rsidRDefault="008D4990">
      <w:pPr>
        <w:numPr>
          <w:ilvl w:val="0"/>
          <w:numId w:val="2"/>
        </w:numPr>
        <w:spacing w:after="0"/>
        <w:rPr>
          <w:sz w:val="24"/>
          <w:szCs w:val="24"/>
        </w:rPr>
      </w:pPr>
      <w:bookmarkStart w:id="9" w:name="_5z63do730ggb" w:colFirst="0" w:colLast="0"/>
      <w:bookmarkEnd w:id="9"/>
      <w:r>
        <w:rPr>
          <w:sz w:val="24"/>
          <w:szCs w:val="24"/>
        </w:rPr>
        <w:t>Ask all the #1s to gather and give them an envelope #1</w:t>
      </w:r>
    </w:p>
    <w:p w14:paraId="0000000A" w14:textId="77777777" w:rsidR="006A0C3B" w:rsidRDefault="008D4990">
      <w:pPr>
        <w:numPr>
          <w:ilvl w:val="0"/>
          <w:numId w:val="2"/>
        </w:numPr>
        <w:spacing w:after="0"/>
        <w:rPr>
          <w:sz w:val="24"/>
          <w:szCs w:val="24"/>
        </w:rPr>
      </w:pPr>
      <w:r>
        <w:rPr>
          <w:sz w:val="24"/>
          <w:szCs w:val="24"/>
        </w:rPr>
        <w:t>Ask all the</w:t>
      </w:r>
      <w:r>
        <w:rPr>
          <w:sz w:val="24"/>
          <w:szCs w:val="24"/>
        </w:rPr>
        <w:t xml:space="preserve"> # 2s to gather and give them an envelope #2</w:t>
      </w:r>
    </w:p>
    <w:p w14:paraId="0000000B" w14:textId="77777777" w:rsidR="006A0C3B" w:rsidRDefault="008D4990">
      <w:pPr>
        <w:numPr>
          <w:ilvl w:val="0"/>
          <w:numId w:val="2"/>
        </w:numPr>
        <w:spacing w:after="0"/>
        <w:rPr>
          <w:sz w:val="24"/>
          <w:szCs w:val="24"/>
        </w:rPr>
      </w:pPr>
      <w:r>
        <w:rPr>
          <w:sz w:val="24"/>
          <w:szCs w:val="24"/>
        </w:rPr>
        <w:t>Ask all the # 3s to gather and give them an envelope #3</w:t>
      </w:r>
    </w:p>
    <w:p w14:paraId="0000000C" w14:textId="77777777" w:rsidR="006A0C3B" w:rsidRDefault="008D4990">
      <w:pPr>
        <w:numPr>
          <w:ilvl w:val="0"/>
          <w:numId w:val="2"/>
        </w:numPr>
        <w:spacing w:after="0"/>
        <w:rPr>
          <w:sz w:val="24"/>
          <w:szCs w:val="24"/>
        </w:rPr>
      </w:pPr>
      <w:r>
        <w:rPr>
          <w:sz w:val="24"/>
          <w:szCs w:val="24"/>
        </w:rPr>
        <w:t>Ask all the # 4s to gather and give them an envelope #4</w:t>
      </w:r>
    </w:p>
    <w:p w14:paraId="0000000D" w14:textId="77777777" w:rsidR="006A0C3B" w:rsidRDefault="008D4990">
      <w:pPr>
        <w:numPr>
          <w:ilvl w:val="0"/>
          <w:numId w:val="2"/>
        </w:numPr>
        <w:spacing w:after="0"/>
        <w:rPr>
          <w:sz w:val="24"/>
          <w:szCs w:val="24"/>
        </w:rPr>
      </w:pPr>
      <w:r>
        <w:rPr>
          <w:sz w:val="24"/>
          <w:szCs w:val="24"/>
        </w:rPr>
        <w:t>Ask all the # 5s to gather and give them an envelope #5</w:t>
      </w:r>
    </w:p>
    <w:p w14:paraId="0000000E" w14:textId="77777777" w:rsidR="006A0C3B" w:rsidRDefault="008D4990">
      <w:pPr>
        <w:numPr>
          <w:ilvl w:val="0"/>
          <w:numId w:val="2"/>
        </w:numPr>
        <w:rPr>
          <w:sz w:val="24"/>
          <w:szCs w:val="24"/>
        </w:rPr>
      </w:pPr>
      <w:bookmarkStart w:id="10" w:name="_pdsqeyd2ol68" w:colFirst="0" w:colLast="0"/>
      <w:bookmarkEnd w:id="10"/>
      <w:r>
        <w:rPr>
          <w:sz w:val="24"/>
          <w:szCs w:val="24"/>
        </w:rPr>
        <w:t>Ask all the # 6s to gather and give them an</w:t>
      </w:r>
      <w:r>
        <w:rPr>
          <w:sz w:val="24"/>
          <w:szCs w:val="24"/>
        </w:rPr>
        <w:t xml:space="preserve"> envelope #6</w:t>
      </w:r>
    </w:p>
    <w:p w14:paraId="0000000F" w14:textId="77777777" w:rsidR="006A0C3B" w:rsidRDefault="008D4990">
      <w:pPr>
        <w:rPr>
          <w:sz w:val="24"/>
          <w:szCs w:val="24"/>
        </w:rPr>
      </w:pPr>
      <w:bookmarkStart w:id="11" w:name="_i07k62kd09ve" w:colFirst="0" w:colLast="0"/>
      <w:bookmarkEnd w:id="11"/>
      <w:r>
        <w:rPr>
          <w:sz w:val="24"/>
          <w:szCs w:val="24"/>
        </w:rPr>
        <w:t>Ask each member of each group to read their statistic to the group</w:t>
      </w:r>
    </w:p>
    <w:p w14:paraId="00000010" w14:textId="77777777" w:rsidR="006A0C3B" w:rsidRDefault="008D4990">
      <w:pPr>
        <w:rPr>
          <w:sz w:val="24"/>
          <w:szCs w:val="24"/>
        </w:rPr>
      </w:pPr>
      <w:bookmarkStart w:id="12" w:name="_vjje9oa7na8b" w:colFirst="0" w:colLast="0"/>
      <w:bookmarkEnd w:id="12"/>
      <w:r>
        <w:rPr>
          <w:sz w:val="24"/>
          <w:szCs w:val="24"/>
        </w:rPr>
        <w:t>After each group member has read their statistic, ask the group to develop a summary that encomasses the meaning behind each statistic they read.</w:t>
      </w:r>
    </w:p>
    <w:p w14:paraId="00000011" w14:textId="77777777" w:rsidR="006A0C3B" w:rsidRDefault="008D4990">
      <w:pPr>
        <w:rPr>
          <w:sz w:val="24"/>
          <w:szCs w:val="24"/>
        </w:rPr>
      </w:pPr>
      <w:bookmarkStart w:id="13" w:name="_rm1ig0afnnxg" w:colFirst="0" w:colLast="0"/>
      <w:bookmarkEnd w:id="13"/>
      <w:r>
        <w:rPr>
          <w:sz w:val="24"/>
          <w:szCs w:val="24"/>
        </w:rPr>
        <w:t>Share the summaries with the l</w:t>
      </w:r>
      <w:r>
        <w:rPr>
          <w:sz w:val="24"/>
          <w:szCs w:val="24"/>
        </w:rPr>
        <w:t>arger group starting with group 1</w:t>
      </w:r>
    </w:p>
    <w:p w14:paraId="00000012" w14:textId="77777777" w:rsidR="006A0C3B" w:rsidRDefault="008D4990">
      <w:pPr>
        <w:rPr>
          <w:sz w:val="24"/>
          <w:szCs w:val="24"/>
        </w:rPr>
      </w:pPr>
      <w:bookmarkStart w:id="14" w:name="_ofmtm16gj69l" w:colFirst="0" w:colLast="0"/>
      <w:bookmarkEnd w:id="14"/>
      <w:r>
        <w:rPr>
          <w:sz w:val="24"/>
          <w:szCs w:val="24"/>
        </w:rPr>
        <w:t>*Option you can either share summaries or share summaries and review the corresponding PowerPoint Slide</w:t>
      </w:r>
    </w:p>
    <w:p w14:paraId="00000013" w14:textId="77777777" w:rsidR="006A0C3B" w:rsidRDefault="008D4990">
      <w:pPr>
        <w:rPr>
          <w:sz w:val="24"/>
          <w:szCs w:val="24"/>
          <w:u w:val="single"/>
        </w:rPr>
      </w:pPr>
      <w:bookmarkStart w:id="15" w:name="_aa8f7um8sfw6" w:colFirst="0" w:colLast="0"/>
      <w:bookmarkEnd w:id="15"/>
      <w:r>
        <w:rPr>
          <w:sz w:val="24"/>
          <w:szCs w:val="24"/>
          <w:u w:val="single"/>
        </w:rPr>
        <w:t>See below for materials</w:t>
      </w:r>
    </w:p>
    <w:p w14:paraId="00000014" w14:textId="77777777" w:rsidR="006A0C3B" w:rsidRDefault="006A0C3B">
      <w:pPr>
        <w:rPr>
          <w:rFonts w:ascii="Gentium Basic" w:eastAsia="Gentium Basic" w:hAnsi="Gentium Basic" w:cs="Gentium Basic"/>
          <w:sz w:val="24"/>
          <w:szCs w:val="24"/>
          <w:u w:val="single"/>
        </w:rPr>
      </w:pPr>
      <w:bookmarkStart w:id="16" w:name="_jcwzk7kvjsrs" w:colFirst="0" w:colLast="0"/>
      <w:bookmarkEnd w:id="16"/>
    </w:p>
    <w:p w14:paraId="00000015" w14:textId="77777777" w:rsidR="006A0C3B" w:rsidRDefault="006A0C3B">
      <w:pPr>
        <w:rPr>
          <w:rFonts w:ascii="Gentium Basic" w:eastAsia="Gentium Basic" w:hAnsi="Gentium Basic" w:cs="Gentium Basic"/>
          <w:sz w:val="24"/>
          <w:szCs w:val="24"/>
          <w:u w:val="single"/>
        </w:rPr>
      </w:pPr>
      <w:bookmarkStart w:id="17" w:name="_fvxb0vsa9a5u" w:colFirst="0" w:colLast="0"/>
      <w:bookmarkEnd w:id="17"/>
    </w:p>
    <w:p w14:paraId="00000016" w14:textId="77777777" w:rsidR="006A0C3B" w:rsidRDefault="006A0C3B">
      <w:pPr>
        <w:rPr>
          <w:rFonts w:ascii="Gentium Basic" w:eastAsia="Gentium Basic" w:hAnsi="Gentium Basic" w:cs="Gentium Basic"/>
          <w:sz w:val="24"/>
          <w:szCs w:val="24"/>
          <w:u w:val="single"/>
        </w:rPr>
      </w:pPr>
      <w:bookmarkStart w:id="18" w:name="_j5g2n6txtg7z" w:colFirst="0" w:colLast="0"/>
      <w:bookmarkEnd w:id="18"/>
    </w:p>
    <w:p w14:paraId="00000017" w14:textId="77777777" w:rsidR="006A0C3B" w:rsidRDefault="006A0C3B">
      <w:pPr>
        <w:rPr>
          <w:rFonts w:ascii="Gentium Basic" w:eastAsia="Gentium Basic" w:hAnsi="Gentium Basic" w:cs="Gentium Basic"/>
          <w:sz w:val="24"/>
          <w:szCs w:val="24"/>
          <w:u w:val="single"/>
        </w:rPr>
      </w:pPr>
      <w:bookmarkStart w:id="19" w:name="_ducgob9pcftn" w:colFirst="0" w:colLast="0"/>
      <w:bookmarkEnd w:id="19"/>
    </w:p>
    <w:p w14:paraId="00000018" w14:textId="77777777" w:rsidR="006A0C3B" w:rsidRDefault="006A0C3B">
      <w:pPr>
        <w:rPr>
          <w:rFonts w:ascii="Gentium Basic" w:eastAsia="Gentium Basic" w:hAnsi="Gentium Basic" w:cs="Gentium Basic"/>
          <w:sz w:val="24"/>
          <w:szCs w:val="24"/>
          <w:u w:val="single"/>
        </w:rPr>
      </w:pPr>
      <w:bookmarkStart w:id="20" w:name="_y3g9a23c74zb" w:colFirst="0" w:colLast="0"/>
      <w:bookmarkEnd w:id="20"/>
    </w:p>
    <w:p w14:paraId="00000019" w14:textId="77777777" w:rsidR="006A0C3B" w:rsidRDefault="006A0C3B">
      <w:pPr>
        <w:rPr>
          <w:rFonts w:ascii="Gentium Basic" w:eastAsia="Gentium Basic" w:hAnsi="Gentium Basic" w:cs="Gentium Basic"/>
          <w:sz w:val="24"/>
          <w:szCs w:val="24"/>
          <w:u w:val="single"/>
        </w:rPr>
      </w:pPr>
      <w:bookmarkStart w:id="21" w:name="_6rmxwnvdgnui" w:colFirst="0" w:colLast="0"/>
      <w:bookmarkEnd w:id="21"/>
    </w:p>
    <w:p w14:paraId="0000001A" w14:textId="77777777" w:rsidR="006A0C3B" w:rsidRDefault="006A0C3B">
      <w:pPr>
        <w:rPr>
          <w:rFonts w:ascii="Gentium Basic" w:eastAsia="Gentium Basic" w:hAnsi="Gentium Basic" w:cs="Gentium Basic"/>
          <w:sz w:val="24"/>
          <w:szCs w:val="24"/>
          <w:u w:val="single"/>
        </w:rPr>
      </w:pPr>
      <w:bookmarkStart w:id="22" w:name="_kmx8vgm0pr8x" w:colFirst="0" w:colLast="0"/>
      <w:bookmarkEnd w:id="22"/>
    </w:p>
    <w:p w14:paraId="0000001B" w14:textId="77777777" w:rsidR="006A0C3B" w:rsidRDefault="006A0C3B">
      <w:pPr>
        <w:rPr>
          <w:rFonts w:ascii="Gentium Basic" w:eastAsia="Gentium Basic" w:hAnsi="Gentium Basic" w:cs="Gentium Basic"/>
          <w:sz w:val="24"/>
          <w:szCs w:val="24"/>
          <w:u w:val="single"/>
        </w:rPr>
      </w:pPr>
      <w:bookmarkStart w:id="23" w:name="_rpeibkj2ij0g" w:colFirst="0" w:colLast="0"/>
      <w:bookmarkEnd w:id="23"/>
    </w:p>
    <w:p w14:paraId="0000001C" w14:textId="77777777" w:rsidR="006A0C3B" w:rsidRDefault="006A0C3B">
      <w:pPr>
        <w:rPr>
          <w:rFonts w:ascii="Gentium Basic" w:eastAsia="Gentium Basic" w:hAnsi="Gentium Basic" w:cs="Gentium Basic"/>
          <w:sz w:val="24"/>
          <w:szCs w:val="24"/>
          <w:u w:val="single"/>
        </w:rPr>
      </w:pPr>
      <w:bookmarkStart w:id="24" w:name="_370dwkr1pvhi" w:colFirst="0" w:colLast="0"/>
      <w:bookmarkEnd w:id="24"/>
    </w:p>
    <w:p w14:paraId="0000001D" w14:textId="77777777" w:rsidR="006A0C3B" w:rsidRDefault="006A0C3B">
      <w:pPr>
        <w:rPr>
          <w:rFonts w:ascii="Gentium Basic" w:eastAsia="Gentium Basic" w:hAnsi="Gentium Basic" w:cs="Gentium Basic"/>
          <w:sz w:val="24"/>
          <w:szCs w:val="24"/>
          <w:u w:val="single"/>
        </w:rPr>
      </w:pPr>
      <w:bookmarkStart w:id="25" w:name="_g2mbfwc0o3fa" w:colFirst="0" w:colLast="0"/>
      <w:bookmarkEnd w:id="25"/>
    </w:p>
    <w:p w14:paraId="0000001E" w14:textId="77777777" w:rsidR="006A0C3B" w:rsidRDefault="008D4990">
      <w:pPr>
        <w:rPr>
          <w:rFonts w:ascii="Gentium Basic" w:eastAsia="Gentium Basic" w:hAnsi="Gentium Basic" w:cs="Gentium Basic"/>
          <w:sz w:val="24"/>
          <w:szCs w:val="24"/>
          <w:u w:val="single"/>
        </w:rPr>
      </w:pPr>
      <w:bookmarkStart w:id="26" w:name="_c4zfk21t2n1" w:colFirst="0" w:colLast="0"/>
      <w:bookmarkEnd w:id="26"/>
      <w:r>
        <w:rPr>
          <w:rFonts w:ascii="Gentium Basic" w:eastAsia="Gentium Basic" w:hAnsi="Gentium Basic" w:cs="Gentium Basic"/>
          <w:sz w:val="24"/>
          <w:szCs w:val="24"/>
          <w:u w:val="single"/>
        </w:rPr>
        <w:t>Theme: College Readiness</w:t>
      </w:r>
    </w:p>
    <w:p w14:paraId="0000001F" w14:textId="77777777" w:rsidR="006A0C3B" w:rsidRDefault="008D4990">
      <w:pPr>
        <w:rPr>
          <w:rFonts w:ascii="Gentium Basic" w:eastAsia="Gentium Basic" w:hAnsi="Gentium Basic" w:cs="Gentium Basic"/>
          <w:sz w:val="24"/>
          <w:szCs w:val="24"/>
        </w:rPr>
      </w:pPr>
      <w:bookmarkStart w:id="27" w:name="_orp16yb42teb" w:colFirst="0" w:colLast="0"/>
      <w:bookmarkEnd w:id="27"/>
      <w:r>
        <w:rPr>
          <w:rFonts w:ascii="Gentium Basic" w:eastAsia="Gentium Basic" w:hAnsi="Gentium Basic" w:cs="Gentium Basic"/>
          <w:sz w:val="24"/>
          <w:szCs w:val="24"/>
        </w:rPr>
        <w:t>Envelope 1</w:t>
      </w:r>
    </w:p>
    <w:p w14:paraId="00000020" w14:textId="77777777" w:rsidR="006A0C3B" w:rsidRDefault="006A0C3B">
      <w:pPr>
        <w:rPr>
          <w:rFonts w:ascii="Gentium Basic" w:eastAsia="Gentium Basic" w:hAnsi="Gentium Basic" w:cs="Gentium Basic"/>
          <w:sz w:val="24"/>
          <w:szCs w:val="24"/>
          <w:u w:val="single"/>
        </w:rPr>
      </w:pPr>
    </w:p>
    <w:p w14:paraId="00000021"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sz w:val="28"/>
          <w:szCs w:val="28"/>
        </w:rPr>
        <w:t>Research on college dropouts reviewed by Rutgers Professor Maurice Elias finds that students’ failure to graduate is “less the result of intellectual shortcomings and more due to deficiencies in the social-emotional and character competencies necessary for</w:t>
      </w:r>
      <w:r>
        <w:rPr>
          <w:rFonts w:ascii="Gentium Basic" w:eastAsia="Gentium Basic" w:hAnsi="Gentium Basic" w:cs="Gentium Basic"/>
          <w:sz w:val="28"/>
          <w:szCs w:val="28"/>
        </w:rPr>
        <w:t xml:space="preserve"> dealing productively with the challenging life situations of college.” </w:t>
      </w:r>
    </w:p>
    <w:p w14:paraId="00000022" w14:textId="77777777" w:rsidR="006A0C3B" w:rsidRDefault="006A0C3B">
      <w:pPr>
        <w:spacing w:after="0" w:line="240" w:lineRule="auto"/>
        <w:rPr>
          <w:rFonts w:ascii="Gentium Basic" w:eastAsia="Gentium Basic" w:hAnsi="Gentium Basic" w:cs="Gentium Basic"/>
          <w:sz w:val="28"/>
          <w:szCs w:val="28"/>
        </w:rPr>
      </w:pPr>
    </w:p>
    <w:p w14:paraId="00000023" w14:textId="77777777" w:rsidR="006A0C3B" w:rsidRDefault="008D4990">
      <w:pPr>
        <w:spacing w:after="0" w:line="240" w:lineRule="auto"/>
        <w:rPr>
          <w:rFonts w:ascii="Gentium Basic" w:eastAsia="Gentium Basic" w:hAnsi="Gentium Basic" w:cs="Gentium Basic"/>
          <w:sz w:val="16"/>
          <w:szCs w:val="16"/>
        </w:rPr>
      </w:pPr>
      <w:r>
        <w:rPr>
          <w:rFonts w:ascii="Gentium Basic" w:eastAsia="Gentium Basic" w:hAnsi="Gentium Basic" w:cs="Gentium Basic"/>
          <w:sz w:val="16"/>
          <w:szCs w:val="16"/>
        </w:rPr>
        <w:t xml:space="preserve">Maurice J. Elias, “Social-Emotional Skills Can Boost Common Core Implementation,” </w:t>
      </w:r>
      <w:r>
        <w:rPr>
          <w:rFonts w:ascii="Gentium Basic" w:eastAsia="Gentium Basic" w:hAnsi="Gentium Basic" w:cs="Gentium Basic"/>
          <w:i/>
          <w:sz w:val="16"/>
          <w:szCs w:val="16"/>
        </w:rPr>
        <w:t xml:space="preserve">Kappan </w:t>
      </w:r>
      <w:r>
        <w:rPr>
          <w:rFonts w:ascii="Gentium Basic" w:eastAsia="Gentium Basic" w:hAnsi="Gentium Basic" w:cs="Gentium Basic"/>
          <w:sz w:val="16"/>
          <w:szCs w:val="16"/>
        </w:rPr>
        <w:t xml:space="preserve">96, no. 3 (November 2014), </w:t>
      </w:r>
      <w:hyperlink r:id="rId5">
        <w:r>
          <w:rPr>
            <w:rFonts w:ascii="Gentium Basic" w:eastAsia="Gentium Basic" w:hAnsi="Gentium Basic" w:cs="Gentium Basic"/>
            <w:color w:val="0000FF"/>
            <w:sz w:val="16"/>
            <w:szCs w:val="16"/>
            <w:u w:val="single"/>
          </w:rPr>
          <w:t>http://www.kappancommoncore.org/social-emotionalskills-can-boost</w:t>
        </w:r>
        <w:r>
          <w:rPr>
            <w:rFonts w:ascii="Gentium Basic" w:eastAsia="Gentium Basic" w:hAnsi="Gentium Basic" w:cs="Gentium Basic"/>
            <w:color w:val="0000FF"/>
            <w:sz w:val="16"/>
            <w:szCs w:val="16"/>
            <w:u w:val="single"/>
          </w:rPr>
          <w:t>-common-core-implementation/.https://assets.aspeninstitute.org/content/uploads/2017/05/ThisTimeWithFeeling.pdf</w:t>
        </w:r>
      </w:hyperlink>
    </w:p>
    <w:p w14:paraId="00000024" w14:textId="77777777" w:rsidR="006A0C3B" w:rsidRDefault="006A0C3B">
      <w:pPr>
        <w:spacing w:after="0" w:line="240" w:lineRule="auto"/>
        <w:rPr>
          <w:rFonts w:ascii="Gentium Basic" w:eastAsia="Gentium Basic" w:hAnsi="Gentium Basic" w:cs="Gentium Basic"/>
          <w:sz w:val="16"/>
          <w:szCs w:val="16"/>
        </w:rPr>
      </w:pPr>
    </w:p>
    <w:p w14:paraId="00000025" w14:textId="77777777" w:rsidR="006A0C3B" w:rsidRDefault="006A0C3B">
      <w:pPr>
        <w:spacing w:after="0" w:line="240" w:lineRule="auto"/>
        <w:rPr>
          <w:rFonts w:ascii="Gentium Basic" w:eastAsia="Gentium Basic" w:hAnsi="Gentium Basic" w:cs="Gentium Basic"/>
          <w:sz w:val="16"/>
          <w:szCs w:val="16"/>
        </w:rPr>
      </w:pPr>
    </w:p>
    <w:p w14:paraId="00000026"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sz w:val="28"/>
          <w:szCs w:val="28"/>
        </w:rPr>
        <w:t>According to a 2013 survey commissioned by the Collaborative for Academic, Social, and Emotional Learning (CASEL), 87 percent of teachers belie</w:t>
      </w:r>
      <w:r>
        <w:rPr>
          <w:rFonts w:ascii="Gentium Basic" w:eastAsia="Gentium Basic" w:hAnsi="Gentium Basic" w:cs="Gentium Basic"/>
          <w:sz w:val="28"/>
          <w:szCs w:val="28"/>
        </w:rPr>
        <w:t xml:space="preserve">ve a larger focus on SED would improve workforce readiness, and 78 percent believe it would improve college preparation. </w:t>
      </w:r>
    </w:p>
    <w:p w14:paraId="00000027" w14:textId="77777777" w:rsidR="006A0C3B" w:rsidRDefault="006A0C3B">
      <w:pPr>
        <w:spacing w:after="0" w:line="240" w:lineRule="auto"/>
        <w:rPr>
          <w:rFonts w:ascii="Gentium Basic" w:eastAsia="Gentium Basic" w:hAnsi="Gentium Basic" w:cs="Gentium Basic"/>
          <w:sz w:val="20"/>
          <w:szCs w:val="20"/>
        </w:rPr>
      </w:pPr>
    </w:p>
    <w:p w14:paraId="00000028" w14:textId="77777777" w:rsidR="006A0C3B" w:rsidRDefault="008D4990">
      <w:pPr>
        <w:spacing w:after="0" w:line="240" w:lineRule="auto"/>
        <w:rPr>
          <w:rFonts w:ascii="Gentium Basic" w:eastAsia="Gentium Basic" w:hAnsi="Gentium Basic" w:cs="Gentium Basic"/>
          <w:sz w:val="16"/>
          <w:szCs w:val="16"/>
        </w:rPr>
      </w:pPr>
      <w:r>
        <w:rPr>
          <w:rFonts w:ascii="Gentium Basic" w:eastAsia="Gentium Basic" w:hAnsi="Gentium Basic" w:cs="Gentium Basic"/>
          <w:sz w:val="16"/>
          <w:szCs w:val="16"/>
        </w:rPr>
        <w:t xml:space="preserve">John Bridgeland, Mary Bruce, and Arya Hariharan, </w:t>
      </w:r>
      <w:r>
        <w:rPr>
          <w:rFonts w:ascii="Gentium Basic" w:eastAsia="Gentium Basic" w:hAnsi="Gentium Basic" w:cs="Gentium Basic"/>
          <w:i/>
          <w:sz w:val="16"/>
          <w:szCs w:val="16"/>
        </w:rPr>
        <w:t>The Missing Piece: A National Teacher Survey on How Social andEmotional Learning Can</w:t>
      </w:r>
      <w:r>
        <w:rPr>
          <w:rFonts w:ascii="Gentium Basic" w:eastAsia="Gentium Basic" w:hAnsi="Gentium Basic" w:cs="Gentium Basic"/>
          <w:i/>
          <w:sz w:val="16"/>
          <w:szCs w:val="16"/>
        </w:rPr>
        <w:t xml:space="preserve"> Empower Children and Transform Schools, </w:t>
      </w:r>
      <w:r>
        <w:rPr>
          <w:rFonts w:ascii="Gentium Basic" w:eastAsia="Gentium Basic" w:hAnsi="Gentium Basic" w:cs="Gentium Basic"/>
          <w:sz w:val="16"/>
          <w:szCs w:val="16"/>
        </w:rPr>
        <w:t>Civic Enterprises with Peter D. Hart Research Associates, 2013, https://www.casel.org/wp-content/uploads/2016/01/the-missing-piece.pdf.</w:t>
      </w:r>
    </w:p>
    <w:p w14:paraId="00000029" w14:textId="77777777" w:rsidR="006A0C3B" w:rsidRDefault="008D4990">
      <w:pPr>
        <w:spacing w:after="0" w:line="240" w:lineRule="auto"/>
        <w:rPr>
          <w:rFonts w:ascii="Gentium Basic" w:eastAsia="Gentium Basic" w:hAnsi="Gentium Basic" w:cs="Gentium Basic"/>
          <w:sz w:val="16"/>
          <w:szCs w:val="16"/>
        </w:rPr>
      </w:pPr>
      <w:r>
        <w:rPr>
          <w:rFonts w:ascii="Gentium Basic" w:eastAsia="Gentium Basic" w:hAnsi="Gentium Basic" w:cs="Gentium Basic"/>
          <w:sz w:val="16"/>
          <w:szCs w:val="16"/>
        </w:rPr>
        <w:t>https://assets.aspeninstitute.org/content/uploads/2017/05/ThisTimeWithFeeling.p</w:t>
      </w:r>
      <w:r>
        <w:rPr>
          <w:rFonts w:ascii="Gentium Basic" w:eastAsia="Gentium Basic" w:hAnsi="Gentium Basic" w:cs="Gentium Basic"/>
          <w:sz w:val="16"/>
          <w:szCs w:val="16"/>
        </w:rPr>
        <w:t>df</w:t>
      </w:r>
    </w:p>
    <w:p w14:paraId="0000002A" w14:textId="77777777" w:rsidR="006A0C3B" w:rsidRDefault="006A0C3B">
      <w:pPr>
        <w:rPr>
          <w:rFonts w:ascii="Gentium Basic" w:eastAsia="Gentium Basic" w:hAnsi="Gentium Basic" w:cs="Gentium Basic"/>
          <w:sz w:val="20"/>
          <w:szCs w:val="20"/>
        </w:rPr>
      </w:pPr>
    </w:p>
    <w:p w14:paraId="0000002B" w14:textId="77777777" w:rsidR="006A0C3B" w:rsidRDefault="006A0C3B">
      <w:pPr>
        <w:rPr>
          <w:rFonts w:ascii="Gentium Basic" w:eastAsia="Gentium Basic" w:hAnsi="Gentium Basic" w:cs="Gentium Basic"/>
          <w:sz w:val="20"/>
          <w:szCs w:val="20"/>
        </w:rPr>
      </w:pPr>
    </w:p>
    <w:p w14:paraId="0000002C" w14:textId="77777777" w:rsidR="006A0C3B" w:rsidRDefault="008D4990">
      <w:pPr>
        <w:rPr>
          <w:rFonts w:ascii="Gentium Basic" w:eastAsia="Gentium Basic" w:hAnsi="Gentium Basic" w:cs="Gentium Basic"/>
          <w:sz w:val="28"/>
          <w:szCs w:val="28"/>
        </w:rPr>
      </w:pPr>
      <w:r>
        <w:rPr>
          <w:rFonts w:ascii="Gentium Basic" w:eastAsia="Gentium Basic" w:hAnsi="Gentium Basic" w:cs="Gentium Basic"/>
          <w:color w:val="000000"/>
          <w:sz w:val="28"/>
          <w:szCs w:val="28"/>
        </w:rPr>
        <w:t>A core aspect of this competency is emotion regulation, which involves learning to manage feeling overwhelmed and to adopt strategies that help reestablish a state of balance after feeling overwhelmed (Gullone, Hughes King, &amp; Tonge, 2010). This aspect</w:t>
      </w:r>
      <w:r>
        <w:rPr>
          <w:rFonts w:ascii="Gentium Basic" w:eastAsia="Gentium Basic" w:hAnsi="Gentium Basic" w:cs="Gentium Basic"/>
          <w:color w:val="000000"/>
          <w:sz w:val="28"/>
          <w:szCs w:val="28"/>
        </w:rPr>
        <w:t xml:space="preserve"> is particularly important as students experience more challenging coursework in high school and college settings and have to handle emotions such as test anxiety (Bradley et al., 2010). Students who can cope with stress have been found to transition to co</w:t>
      </w:r>
      <w:r>
        <w:rPr>
          <w:rFonts w:ascii="Gentium Basic" w:eastAsia="Gentium Basic" w:hAnsi="Gentium Basic" w:cs="Gentium Basic"/>
          <w:color w:val="000000"/>
          <w:sz w:val="28"/>
          <w:szCs w:val="28"/>
        </w:rPr>
        <w:t>llege more successfully and perform better academically (DeBerard, Spielmans, &amp; Julka, 2004).</w:t>
      </w:r>
      <w:r>
        <w:rPr>
          <w:rFonts w:ascii="Gentium Basic" w:eastAsia="Gentium Basic" w:hAnsi="Gentium Basic" w:cs="Gentium Basic"/>
          <w:sz w:val="28"/>
          <w:szCs w:val="28"/>
        </w:rPr>
        <w:t xml:space="preserve"> </w:t>
      </w:r>
    </w:p>
    <w:p w14:paraId="0000002D" w14:textId="77777777" w:rsidR="006A0C3B" w:rsidRDefault="008D4990">
      <w:pPr>
        <w:rPr>
          <w:rFonts w:ascii="Gentium Basic" w:eastAsia="Gentium Basic" w:hAnsi="Gentium Basic" w:cs="Gentium Basic"/>
          <w:color w:val="000000"/>
          <w:sz w:val="16"/>
          <w:szCs w:val="16"/>
        </w:rPr>
      </w:pPr>
      <w:hyperlink r:id="rId6">
        <w:r>
          <w:rPr>
            <w:rFonts w:ascii="Gentium Basic" w:eastAsia="Gentium Basic" w:hAnsi="Gentium Basic" w:cs="Gentium Basic"/>
            <w:color w:val="000000"/>
            <w:sz w:val="16"/>
            <w:szCs w:val="16"/>
            <w:u w:val="single"/>
          </w:rPr>
          <w:t>https://ccrscenter.org/sites/default/files/Improving%20College%20and%20Career%20Readiness%20by%20Incorporating%20Social%20and%20Emotional%20Learning_0.pdf</w:t>
        </w:r>
      </w:hyperlink>
      <w:r>
        <w:rPr>
          <w:rFonts w:ascii="Gentium Basic" w:eastAsia="Gentium Basic" w:hAnsi="Gentium Basic" w:cs="Gentium Basic"/>
          <w:sz w:val="16"/>
          <w:szCs w:val="16"/>
        </w:rPr>
        <w:t xml:space="preserve"> </w:t>
      </w:r>
      <w:r>
        <w:rPr>
          <w:rFonts w:ascii="Gentium Basic" w:eastAsia="Gentium Basic" w:hAnsi="Gentium Basic" w:cs="Gentium Basic"/>
          <w:color w:val="000000"/>
          <w:sz w:val="16"/>
          <w:szCs w:val="16"/>
        </w:rPr>
        <w:t>Improving College and Career Readiness by Incorporating Social and Emotional Learning Am</w:t>
      </w:r>
      <w:r>
        <w:rPr>
          <w:rFonts w:ascii="Gentium Basic" w:eastAsia="Gentium Basic" w:hAnsi="Gentium Basic" w:cs="Gentium Basic"/>
          <w:color w:val="000000"/>
          <w:sz w:val="16"/>
          <w:szCs w:val="16"/>
        </w:rPr>
        <w:t>erican Institutes for Research</w:t>
      </w:r>
    </w:p>
    <w:p w14:paraId="0000002E" w14:textId="77777777" w:rsidR="006A0C3B" w:rsidRDefault="006A0C3B">
      <w:pPr>
        <w:rPr>
          <w:rFonts w:ascii="Gentium Basic" w:eastAsia="Gentium Basic" w:hAnsi="Gentium Basic" w:cs="Gentium Basic"/>
          <w:sz w:val="16"/>
          <w:szCs w:val="16"/>
        </w:rPr>
      </w:pPr>
    </w:p>
    <w:p w14:paraId="0000002F" w14:textId="77777777" w:rsidR="006A0C3B" w:rsidRDefault="008D4990">
      <w:pPr>
        <w:rPr>
          <w:rFonts w:ascii="Gentium Basic" w:eastAsia="Gentium Basic" w:hAnsi="Gentium Basic" w:cs="Gentium Basic"/>
          <w:color w:val="000000"/>
          <w:sz w:val="28"/>
          <w:szCs w:val="28"/>
        </w:rPr>
      </w:pPr>
      <w:r>
        <w:rPr>
          <w:rFonts w:ascii="Gentium Basic" w:eastAsia="Gentium Basic" w:hAnsi="Gentium Basic" w:cs="Gentium Basic"/>
          <w:color w:val="000000"/>
          <w:sz w:val="28"/>
          <w:szCs w:val="28"/>
        </w:rPr>
        <w:t>Another core aspect of this competency is the ability to identify situations in which social support can serve as a resource for managing problems. For example, parental and peer support during the transition to college is important in lowering anxiety lev</w:t>
      </w:r>
      <w:r>
        <w:rPr>
          <w:rFonts w:ascii="Gentium Basic" w:eastAsia="Gentium Basic" w:hAnsi="Gentium Basic" w:cs="Gentium Basic"/>
          <w:color w:val="000000"/>
          <w:sz w:val="28"/>
          <w:szCs w:val="28"/>
        </w:rPr>
        <w:t xml:space="preserve">els and helping students to meet the academic demands of college classes. </w:t>
      </w:r>
    </w:p>
    <w:p w14:paraId="00000030" w14:textId="77777777" w:rsidR="006A0C3B" w:rsidRDefault="008D4990">
      <w:pPr>
        <w:rPr>
          <w:rFonts w:ascii="Gentium Basic" w:eastAsia="Gentium Basic" w:hAnsi="Gentium Basic" w:cs="Gentium Basic"/>
          <w:color w:val="000000"/>
          <w:sz w:val="20"/>
          <w:szCs w:val="20"/>
        </w:rPr>
      </w:pPr>
      <w:r>
        <w:rPr>
          <w:rFonts w:ascii="Gentium Basic" w:eastAsia="Gentium Basic" w:hAnsi="Gentium Basic" w:cs="Gentium Basic"/>
          <w:color w:val="000000"/>
          <w:sz w:val="16"/>
          <w:szCs w:val="16"/>
        </w:rPr>
        <w:t>Dennis, Phinney, &amp; Chuateco, 2005  Improving College and Career Readiness by Incorporating Social and Emotional Learning American Institutes for Research</w:t>
      </w:r>
    </w:p>
    <w:p w14:paraId="00000031" w14:textId="77777777" w:rsidR="006A0C3B" w:rsidRDefault="006A0C3B">
      <w:pPr>
        <w:pBdr>
          <w:top w:val="nil"/>
          <w:left w:val="nil"/>
          <w:bottom w:val="nil"/>
          <w:right w:val="nil"/>
          <w:between w:val="nil"/>
        </w:pBdr>
        <w:spacing w:after="0" w:line="240" w:lineRule="auto"/>
        <w:rPr>
          <w:rFonts w:ascii="Gentium Basic" w:eastAsia="Gentium Basic" w:hAnsi="Gentium Basic" w:cs="Gentium Basic"/>
          <w:sz w:val="20"/>
          <w:szCs w:val="20"/>
        </w:rPr>
      </w:pPr>
    </w:p>
    <w:p w14:paraId="00000032" w14:textId="77777777" w:rsidR="006A0C3B" w:rsidRDefault="006A0C3B">
      <w:pPr>
        <w:pBdr>
          <w:top w:val="nil"/>
          <w:left w:val="nil"/>
          <w:bottom w:val="nil"/>
          <w:right w:val="nil"/>
          <w:between w:val="nil"/>
        </w:pBdr>
        <w:spacing w:after="0" w:line="240" w:lineRule="auto"/>
        <w:rPr>
          <w:rFonts w:ascii="Gentium Basic" w:eastAsia="Gentium Basic" w:hAnsi="Gentium Basic" w:cs="Gentium Basic"/>
          <w:sz w:val="20"/>
          <w:szCs w:val="20"/>
        </w:rPr>
      </w:pPr>
    </w:p>
    <w:p w14:paraId="00000033" w14:textId="77777777" w:rsidR="006A0C3B" w:rsidRDefault="006A0C3B">
      <w:pPr>
        <w:pBdr>
          <w:top w:val="nil"/>
          <w:left w:val="nil"/>
          <w:bottom w:val="nil"/>
          <w:right w:val="nil"/>
          <w:between w:val="nil"/>
        </w:pBdr>
        <w:spacing w:after="0" w:line="240" w:lineRule="auto"/>
        <w:rPr>
          <w:rFonts w:ascii="Gentium Basic" w:eastAsia="Gentium Basic" w:hAnsi="Gentium Basic" w:cs="Gentium Basic"/>
          <w:sz w:val="20"/>
          <w:szCs w:val="20"/>
        </w:rPr>
      </w:pPr>
    </w:p>
    <w:p w14:paraId="00000034" w14:textId="77777777" w:rsidR="006A0C3B" w:rsidRDefault="006A0C3B">
      <w:pPr>
        <w:pBdr>
          <w:top w:val="nil"/>
          <w:left w:val="nil"/>
          <w:bottom w:val="nil"/>
          <w:right w:val="nil"/>
          <w:between w:val="nil"/>
        </w:pBdr>
        <w:spacing w:after="0" w:line="240" w:lineRule="auto"/>
        <w:rPr>
          <w:rFonts w:ascii="Gentium Basic" w:eastAsia="Gentium Basic" w:hAnsi="Gentium Basic" w:cs="Gentium Basic"/>
          <w:sz w:val="20"/>
          <w:szCs w:val="20"/>
        </w:rPr>
      </w:pPr>
    </w:p>
    <w:p w14:paraId="00000035" w14:textId="77777777" w:rsidR="006A0C3B" w:rsidRDefault="006A0C3B">
      <w:pPr>
        <w:pBdr>
          <w:top w:val="nil"/>
          <w:left w:val="nil"/>
          <w:bottom w:val="nil"/>
          <w:right w:val="nil"/>
          <w:between w:val="nil"/>
        </w:pBdr>
        <w:spacing w:after="0" w:line="240" w:lineRule="auto"/>
        <w:rPr>
          <w:rFonts w:ascii="Gentium Basic" w:eastAsia="Gentium Basic" w:hAnsi="Gentium Basic" w:cs="Gentium Basic"/>
          <w:sz w:val="20"/>
          <w:szCs w:val="20"/>
        </w:rPr>
      </w:pPr>
    </w:p>
    <w:p w14:paraId="00000036" w14:textId="77777777" w:rsidR="006A0C3B" w:rsidRDefault="008D4990">
      <w:pPr>
        <w:pBdr>
          <w:top w:val="nil"/>
          <w:left w:val="nil"/>
          <w:bottom w:val="nil"/>
          <w:right w:val="nil"/>
          <w:between w:val="nil"/>
        </w:pBdr>
        <w:spacing w:after="0" w:line="240" w:lineRule="auto"/>
        <w:rPr>
          <w:rFonts w:ascii="Gentium Basic" w:eastAsia="Gentium Basic" w:hAnsi="Gentium Basic" w:cs="Gentium Basic"/>
          <w:color w:val="000000"/>
          <w:sz w:val="28"/>
          <w:szCs w:val="28"/>
        </w:rPr>
      </w:pPr>
      <w:r>
        <w:rPr>
          <w:rFonts w:ascii="Gentium Basic" w:eastAsia="Gentium Basic" w:hAnsi="Gentium Basic" w:cs="Gentium Basic"/>
          <w:color w:val="000000"/>
          <w:sz w:val="28"/>
          <w:szCs w:val="28"/>
        </w:rPr>
        <w:lastRenderedPageBreak/>
        <w:t>These skills enable students to work well in groups and relate to others from different cultures and backgrounds. For example, students’ worries about how to interact with others from diverse backgrounds and with faculty members may interfere with students</w:t>
      </w:r>
      <w:r>
        <w:rPr>
          <w:rFonts w:ascii="Gentium Basic" w:eastAsia="Gentium Basic" w:hAnsi="Gentium Basic" w:cs="Gentium Basic"/>
          <w:color w:val="000000"/>
          <w:sz w:val="28"/>
          <w:szCs w:val="28"/>
        </w:rPr>
        <w:t>’ sense of belonging in college and impede the adjustment process during the first year of college (Hurtado et al., 2007). In addition, as first-year college students enter a new social environment, relationship skills help them to build new social network</w:t>
      </w:r>
      <w:r>
        <w:rPr>
          <w:rFonts w:ascii="Gentium Basic" w:eastAsia="Gentium Basic" w:hAnsi="Gentium Basic" w:cs="Gentium Basic"/>
          <w:color w:val="000000"/>
          <w:sz w:val="28"/>
          <w:szCs w:val="28"/>
        </w:rPr>
        <w:t xml:space="preserve">s. Connecting students to a network of supportive peers can reduce feelings of loneliness, increase feelings of social support, and increase college retention (Mattanah et al., 2010). </w:t>
      </w:r>
    </w:p>
    <w:p w14:paraId="00000037" w14:textId="77777777" w:rsidR="006A0C3B" w:rsidRDefault="006A0C3B">
      <w:pPr>
        <w:pBdr>
          <w:top w:val="nil"/>
          <w:left w:val="nil"/>
          <w:bottom w:val="nil"/>
          <w:right w:val="nil"/>
          <w:between w:val="nil"/>
        </w:pBdr>
        <w:spacing w:after="0" w:line="240" w:lineRule="auto"/>
        <w:rPr>
          <w:rFonts w:ascii="Gentium Basic" w:eastAsia="Gentium Basic" w:hAnsi="Gentium Basic" w:cs="Gentium Basic"/>
          <w:sz w:val="20"/>
          <w:szCs w:val="20"/>
        </w:rPr>
      </w:pPr>
    </w:p>
    <w:p w14:paraId="00000038" w14:textId="77777777" w:rsidR="006A0C3B" w:rsidRDefault="008D4990">
      <w:pPr>
        <w:rPr>
          <w:rFonts w:ascii="Gentium Basic" w:eastAsia="Gentium Basic" w:hAnsi="Gentium Basic" w:cs="Gentium Basic"/>
          <w:sz w:val="16"/>
          <w:szCs w:val="16"/>
        </w:rPr>
      </w:pPr>
      <w:r>
        <w:rPr>
          <w:rFonts w:ascii="Gentium Basic" w:eastAsia="Gentium Basic" w:hAnsi="Gentium Basic" w:cs="Gentium Basic"/>
          <w:sz w:val="16"/>
          <w:szCs w:val="16"/>
        </w:rPr>
        <w:t xml:space="preserve"> </w:t>
      </w:r>
      <w:r>
        <w:rPr>
          <w:rFonts w:ascii="Gentium Basic" w:eastAsia="Gentium Basic" w:hAnsi="Gentium Basic" w:cs="Gentium Basic"/>
          <w:color w:val="000000"/>
          <w:sz w:val="16"/>
          <w:szCs w:val="16"/>
        </w:rPr>
        <w:t>Improving College and Career Readiness by Incorporating Social and Em</w:t>
      </w:r>
      <w:r>
        <w:rPr>
          <w:rFonts w:ascii="Gentium Basic" w:eastAsia="Gentium Basic" w:hAnsi="Gentium Basic" w:cs="Gentium Basic"/>
          <w:color w:val="000000"/>
          <w:sz w:val="16"/>
          <w:szCs w:val="16"/>
        </w:rPr>
        <w:t>otional Learning American Institutes for Research</w:t>
      </w:r>
    </w:p>
    <w:p w14:paraId="00000039" w14:textId="77777777" w:rsidR="006A0C3B" w:rsidRDefault="008D4990">
      <w:pPr>
        <w:rPr>
          <w:rFonts w:ascii="Gentium Basic" w:eastAsia="Gentium Basic" w:hAnsi="Gentium Basic" w:cs="Gentium Basic"/>
          <w:sz w:val="20"/>
          <w:szCs w:val="20"/>
        </w:rPr>
      </w:pPr>
      <w:r>
        <w:br w:type="page"/>
      </w:r>
    </w:p>
    <w:p w14:paraId="0000003A" w14:textId="77777777" w:rsidR="006A0C3B" w:rsidRDefault="006A0C3B">
      <w:pPr>
        <w:rPr>
          <w:rFonts w:ascii="Gentium Basic" w:eastAsia="Gentium Basic" w:hAnsi="Gentium Basic" w:cs="Gentium Basic"/>
          <w:sz w:val="20"/>
          <w:szCs w:val="20"/>
        </w:rPr>
      </w:pPr>
    </w:p>
    <w:p w14:paraId="0000003B" w14:textId="77777777" w:rsidR="006A0C3B" w:rsidRDefault="008D4990">
      <w:pPr>
        <w:rPr>
          <w:rFonts w:ascii="Gentium Basic" w:eastAsia="Gentium Basic" w:hAnsi="Gentium Basic" w:cs="Gentium Basic"/>
          <w:sz w:val="24"/>
          <w:szCs w:val="24"/>
          <w:u w:val="single"/>
        </w:rPr>
      </w:pPr>
      <w:r>
        <w:rPr>
          <w:rFonts w:ascii="Gentium Basic" w:eastAsia="Gentium Basic" w:hAnsi="Gentium Basic" w:cs="Gentium Basic"/>
          <w:sz w:val="24"/>
          <w:szCs w:val="24"/>
          <w:u w:val="single"/>
        </w:rPr>
        <w:t>Theme: Career Readiness</w:t>
      </w:r>
    </w:p>
    <w:p w14:paraId="0000003C" w14:textId="77777777" w:rsidR="006A0C3B" w:rsidRDefault="008D4990">
      <w:pPr>
        <w:rPr>
          <w:rFonts w:ascii="Gentium Basic" w:eastAsia="Gentium Basic" w:hAnsi="Gentium Basic" w:cs="Gentium Basic"/>
          <w:sz w:val="24"/>
          <w:szCs w:val="24"/>
        </w:rPr>
      </w:pPr>
      <w:r>
        <w:rPr>
          <w:rFonts w:ascii="Gentium Basic" w:eastAsia="Gentium Basic" w:hAnsi="Gentium Basic" w:cs="Gentium Basic"/>
          <w:sz w:val="24"/>
          <w:szCs w:val="24"/>
        </w:rPr>
        <w:t>Envelope 2</w:t>
      </w:r>
    </w:p>
    <w:p w14:paraId="0000003D" w14:textId="77777777" w:rsidR="006A0C3B" w:rsidRDefault="006A0C3B">
      <w:pPr>
        <w:rPr>
          <w:rFonts w:ascii="Gentium Basic" w:eastAsia="Gentium Basic" w:hAnsi="Gentium Basic" w:cs="Gentium Basic"/>
          <w:sz w:val="24"/>
          <w:szCs w:val="24"/>
          <w:u w:val="single"/>
        </w:rPr>
      </w:pPr>
    </w:p>
    <w:p w14:paraId="0000003E" w14:textId="77777777" w:rsidR="006A0C3B" w:rsidRDefault="008D4990">
      <w:pPr>
        <w:spacing w:after="0" w:line="240" w:lineRule="auto"/>
        <w:rPr>
          <w:rFonts w:ascii="Gentium Basic" w:eastAsia="Gentium Basic" w:hAnsi="Gentium Basic" w:cs="Gentium Basic"/>
          <w:color w:val="262626"/>
          <w:sz w:val="28"/>
          <w:szCs w:val="28"/>
        </w:rPr>
      </w:pPr>
      <w:r>
        <w:rPr>
          <w:rFonts w:ascii="Gentium Basic" w:eastAsia="Gentium Basic" w:hAnsi="Gentium Basic" w:cs="Gentium Basic"/>
          <w:color w:val="262626"/>
          <w:sz w:val="28"/>
          <w:szCs w:val="28"/>
        </w:rPr>
        <w:t xml:space="preserve">According to a 2013 survey of 704 employers conducted by </w:t>
      </w:r>
      <w:r>
        <w:rPr>
          <w:rFonts w:ascii="Gentium Basic" w:eastAsia="Gentium Basic" w:hAnsi="Gentium Basic" w:cs="Gentium Basic"/>
          <w:i/>
          <w:color w:val="262626"/>
          <w:sz w:val="28"/>
          <w:szCs w:val="28"/>
        </w:rPr>
        <w:t xml:space="preserve">The Chronicle of Higher Education </w:t>
      </w:r>
      <w:r>
        <w:rPr>
          <w:rFonts w:ascii="Gentium Basic" w:eastAsia="Gentium Basic" w:hAnsi="Gentium Basic" w:cs="Gentium Basic"/>
          <w:color w:val="262626"/>
          <w:sz w:val="28"/>
          <w:szCs w:val="28"/>
        </w:rPr>
        <w:t xml:space="preserve">and American Public Media’s </w:t>
      </w:r>
      <w:r>
        <w:rPr>
          <w:rFonts w:ascii="Gentium Basic" w:eastAsia="Gentium Basic" w:hAnsi="Gentium Basic" w:cs="Gentium Basic"/>
          <w:i/>
          <w:color w:val="262626"/>
          <w:sz w:val="28"/>
          <w:szCs w:val="28"/>
        </w:rPr>
        <w:t>Marketplace</w:t>
      </w:r>
      <w:r>
        <w:rPr>
          <w:rFonts w:ascii="Gentium Basic" w:eastAsia="Gentium Basic" w:hAnsi="Gentium Basic" w:cs="Gentium Basic"/>
          <w:color w:val="262626"/>
          <w:sz w:val="28"/>
          <w:szCs w:val="28"/>
        </w:rPr>
        <w:t xml:space="preserve">, half of those surveyed said they had trouble finding recent graduates to fill vacancies in their companies; even though applicants had the technical prowess, they lacked the communication, adaptability, decision-making, and problem-solving skills needed </w:t>
      </w:r>
      <w:r>
        <w:rPr>
          <w:rFonts w:ascii="Gentium Basic" w:eastAsia="Gentium Basic" w:hAnsi="Gentium Basic" w:cs="Gentium Basic"/>
          <w:color w:val="262626"/>
          <w:sz w:val="28"/>
          <w:szCs w:val="28"/>
        </w:rPr>
        <w:t xml:space="preserve">to do the job.  </w:t>
      </w:r>
    </w:p>
    <w:p w14:paraId="0000003F" w14:textId="77777777" w:rsidR="006A0C3B" w:rsidRDefault="006A0C3B">
      <w:pPr>
        <w:spacing w:after="0" w:line="240" w:lineRule="auto"/>
        <w:rPr>
          <w:rFonts w:ascii="Gentium Basic" w:eastAsia="Gentium Basic" w:hAnsi="Gentium Basic" w:cs="Gentium Basic"/>
          <w:color w:val="262626"/>
          <w:sz w:val="20"/>
          <w:szCs w:val="20"/>
        </w:rPr>
      </w:pPr>
    </w:p>
    <w:p w14:paraId="00000040" w14:textId="77777777" w:rsidR="006A0C3B" w:rsidRDefault="008D4990">
      <w:pPr>
        <w:spacing w:after="0" w:line="240" w:lineRule="auto"/>
        <w:rPr>
          <w:rFonts w:ascii="Gentium Basic" w:eastAsia="Gentium Basic" w:hAnsi="Gentium Basic" w:cs="Gentium Basic"/>
          <w:color w:val="262626"/>
          <w:sz w:val="16"/>
          <w:szCs w:val="16"/>
        </w:rPr>
      </w:pPr>
      <w:r>
        <w:rPr>
          <w:rFonts w:ascii="Gentium Basic" w:eastAsia="Gentium Basic" w:hAnsi="Gentium Basic" w:cs="Gentium Basic"/>
          <w:color w:val="4D4D4D"/>
          <w:sz w:val="16"/>
          <w:szCs w:val="16"/>
        </w:rPr>
        <w:t>Fischer, K. (2013, March 4). The employment mismatch. Chronicle of Higher Education. Retrieved from http://www.chronicle.com</w:t>
      </w:r>
    </w:p>
    <w:p w14:paraId="00000041" w14:textId="77777777" w:rsidR="006A0C3B" w:rsidRDefault="008D4990">
      <w:pPr>
        <w:spacing w:after="0" w:line="240" w:lineRule="auto"/>
        <w:rPr>
          <w:rFonts w:ascii="Gentium Basic" w:eastAsia="Gentium Basic" w:hAnsi="Gentium Basic" w:cs="Gentium Basic"/>
          <w:color w:val="262626"/>
          <w:sz w:val="20"/>
          <w:szCs w:val="20"/>
        </w:rPr>
      </w:pPr>
      <w:r>
        <w:rPr>
          <w:rFonts w:ascii="Gentium Basic" w:eastAsia="Gentium Basic" w:hAnsi="Gentium Basic" w:cs="Gentium Basic"/>
          <w:color w:val="262626"/>
          <w:sz w:val="16"/>
          <w:szCs w:val="16"/>
        </w:rPr>
        <w:t xml:space="preserve">A </w:t>
      </w:r>
      <w:r>
        <w:rPr>
          <w:rFonts w:ascii="Gentium Basic" w:eastAsia="Gentium Basic" w:hAnsi="Gentium Basic" w:cs="Gentium Basic"/>
          <w:i/>
          <w:color w:val="262626"/>
          <w:sz w:val="16"/>
          <w:szCs w:val="16"/>
        </w:rPr>
        <w:t xml:space="preserve">Forbes </w:t>
      </w:r>
      <w:r>
        <w:rPr>
          <w:rFonts w:ascii="Gentium Basic" w:eastAsia="Gentium Basic" w:hAnsi="Gentium Basic" w:cs="Gentium Basic"/>
          <w:color w:val="262626"/>
          <w:sz w:val="16"/>
          <w:szCs w:val="16"/>
        </w:rPr>
        <w:t>report on “the 10 skills employers most want in 2015 graduates”15 ranked these four skills at the top: (</w:t>
      </w:r>
      <w:r>
        <w:rPr>
          <w:rFonts w:ascii="Gentium Basic" w:eastAsia="Gentium Basic" w:hAnsi="Gentium Basic" w:cs="Gentium Basic"/>
          <w:color w:val="262626"/>
          <w:sz w:val="16"/>
          <w:szCs w:val="16"/>
        </w:rPr>
        <w:t>1) the ability to work in a team, (2) the ability to solve problems, (3) the ability to make decisions, and (4) the ability to communicate verbally with people inside and outside an organization.</w:t>
      </w:r>
      <w:r>
        <w:rPr>
          <w:rFonts w:ascii="Gentium Basic" w:eastAsia="Gentium Basic" w:hAnsi="Gentium Basic" w:cs="Gentium Basic"/>
          <w:color w:val="262626"/>
          <w:sz w:val="20"/>
          <w:szCs w:val="20"/>
        </w:rPr>
        <w:t xml:space="preserve"> </w:t>
      </w:r>
    </w:p>
    <w:p w14:paraId="00000042" w14:textId="77777777" w:rsidR="006A0C3B" w:rsidRDefault="008D4990">
      <w:pPr>
        <w:spacing w:after="0" w:line="240" w:lineRule="auto"/>
        <w:rPr>
          <w:rFonts w:ascii="Gentium Basic" w:eastAsia="Gentium Basic" w:hAnsi="Gentium Basic" w:cs="Gentium Basic"/>
          <w:color w:val="262626"/>
          <w:sz w:val="16"/>
          <w:szCs w:val="16"/>
        </w:rPr>
      </w:pPr>
      <w:r>
        <w:rPr>
          <w:rFonts w:ascii="Gentium Basic" w:eastAsia="Gentium Basic" w:hAnsi="Gentium Basic" w:cs="Gentium Basic"/>
          <w:color w:val="262626"/>
          <w:sz w:val="16"/>
          <w:szCs w:val="16"/>
        </w:rPr>
        <w:t>http://www.casel.org/wp-content/uploads/2016/09/Sept.-14-20</w:t>
      </w:r>
      <w:r>
        <w:rPr>
          <w:rFonts w:ascii="Gentium Basic" w:eastAsia="Gentium Basic" w:hAnsi="Gentium Basic" w:cs="Gentium Basic"/>
          <w:color w:val="262626"/>
          <w:sz w:val="16"/>
          <w:szCs w:val="16"/>
        </w:rPr>
        <w:t>16-Congressional-Briefing-on-SEL-and-Employability-Skills.pdf</w:t>
      </w:r>
    </w:p>
    <w:p w14:paraId="00000043" w14:textId="77777777" w:rsidR="006A0C3B" w:rsidRDefault="006A0C3B">
      <w:pPr>
        <w:spacing w:after="0" w:line="240" w:lineRule="auto"/>
        <w:rPr>
          <w:rFonts w:ascii="Gentium Basic" w:eastAsia="Gentium Basic" w:hAnsi="Gentium Basic" w:cs="Gentium Basic"/>
          <w:color w:val="262626"/>
          <w:sz w:val="20"/>
          <w:szCs w:val="20"/>
        </w:rPr>
      </w:pPr>
    </w:p>
    <w:p w14:paraId="00000044" w14:textId="77777777" w:rsidR="006A0C3B" w:rsidRDefault="006A0C3B">
      <w:pPr>
        <w:spacing w:after="0" w:line="240" w:lineRule="auto"/>
        <w:rPr>
          <w:rFonts w:ascii="Gentium Basic" w:eastAsia="Gentium Basic" w:hAnsi="Gentium Basic" w:cs="Gentium Basic"/>
          <w:color w:val="262626"/>
          <w:sz w:val="20"/>
          <w:szCs w:val="20"/>
        </w:rPr>
      </w:pPr>
    </w:p>
    <w:p w14:paraId="00000045" w14:textId="77777777" w:rsidR="006A0C3B" w:rsidRDefault="008D4990">
      <w:pPr>
        <w:spacing w:after="0" w:line="240" w:lineRule="auto"/>
        <w:rPr>
          <w:rFonts w:ascii="Gentium Basic" w:eastAsia="Gentium Basic" w:hAnsi="Gentium Basic" w:cs="Gentium Basic"/>
          <w:color w:val="262626"/>
          <w:sz w:val="28"/>
          <w:szCs w:val="28"/>
        </w:rPr>
      </w:pPr>
      <w:r>
        <w:rPr>
          <w:rFonts w:ascii="Gentium Basic" w:eastAsia="Gentium Basic" w:hAnsi="Gentium Basic" w:cs="Gentium Basic"/>
          <w:color w:val="262626"/>
          <w:sz w:val="28"/>
          <w:szCs w:val="28"/>
        </w:rPr>
        <w:t>A recent report12 from the Association for Career and Technical Education (ACTE), National Association of State Directors of Career Technical Education (CTE) Consortium, and the Partnership fo</w:t>
      </w:r>
      <w:r>
        <w:rPr>
          <w:rFonts w:ascii="Gentium Basic" w:eastAsia="Gentium Basic" w:hAnsi="Gentium Basic" w:cs="Gentium Basic"/>
          <w:color w:val="262626"/>
          <w:sz w:val="28"/>
          <w:szCs w:val="28"/>
        </w:rPr>
        <w:t>r 21st Century Skills (P21) found this:</w:t>
      </w:r>
    </w:p>
    <w:p w14:paraId="00000046" w14:textId="77777777" w:rsidR="006A0C3B" w:rsidRDefault="008D4990">
      <w:pPr>
        <w:spacing w:after="0" w:line="240" w:lineRule="auto"/>
        <w:rPr>
          <w:rFonts w:ascii="Gentium Basic" w:eastAsia="Gentium Basic" w:hAnsi="Gentium Basic" w:cs="Gentium Basic"/>
          <w:color w:val="262626"/>
          <w:sz w:val="28"/>
          <w:szCs w:val="28"/>
        </w:rPr>
      </w:pPr>
      <w:r>
        <w:rPr>
          <w:rFonts w:ascii="Gentium Basic" w:eastAsia="Gentium Basic" w:hAnsi="Gentium Basic" w:cs="Gentium Basic"/>
          <w:color w:val="262626"/>
          <w:sz w:val="28"/>
          <w:szCs w:val="28"/>
        </w:rPr>
        <w:t>• Employers want workers with skills in “the 4 Cs”: critical thinking, creative and innovative problem solving, communication, and collaboration.</w:t>
      </w:r>
    </w:p>
    <w:p w14:paraId="00000047" w14:textId="77777777" w:rsidR="006A0C3B" w:rsidRDefault="008D4990">
      <w:pPr>
        <w:spacing w:after="0" w:line="240" w:lineRule="auto"/>
        <w:rPr>
          <w:rFonts w:ascii="Gentium Basic" w:eastAsia="Gentium Basic" w:hAnsi="Gentium Basic" w:cs="Gentium Basic"/>
          <w:color w:val="262626"/>
          <w:sz w:val="28"/>
          <w:szCs w:val="28"/>
        </w:rPr>
      </w:pPr>
      <w:r>
        <w:rPr>
          <w:rFonts w:ascii="Gentium Basic" w:eastAsia="Gentium Basic" w:hAnsi="Gentium Basic" w:cs="Gentium Basic"/>
          <w:color w:val="262626"/>
          <w:sz w:val="28"/>
          <w:szCs w:val="28"/>
        </w:rPr>
        <w:t>• However, according to Manpower, a worldwide staffing agency, 31 percent of employers globally find it difficult to find qualified workers because of “a talent mismatch between workers’ qualifications and the specific skill sets and combinations of skills</w:t>
      </w:r>
      <w:r>
        <w:rPr>
          <w:rFonts w:ascii="Gentium Basic" w:eastAsia="Gentium Basic" w:hAnsi="Gentium Basic" w:cs="Gentium Basic"/>
          <w:color w:val="262626"/>
          <w:sz w:val="28"/>
          <w:szCs w:val="28"/>
        </w:rPr>
        <w:t xml:space="preserve"> employers want”</w:t>
      </w:r>
    </w:p>
    <w:p w14:paraId="00000048" w14:textId="77777777" w:rsidR="006A0C3B" w:rsidRDefault="006A0C3B">
      <w:pPr>
        <w:spacing w:after="0" w:line="240" w:lineRule="auto"/>
        <w:rPr>
          <w:rFonts w:ascii="Gentium Basic" w:eastAsia="Gentium Basic" w:hAnsi="Gentium Basic" w:cs="Gentium Basic"/>
          <w:color w:val="262626"/>
        </w:rPr>
      </w:pPr>
    </w:p>
    <w:p w14:paraId="00000049" w14:textId="77777777" w:rsidR="006A0C3B" w:rsidRDefault="008D4990">
      <w:pPr>
        <w:rPr>
          <w:rFonts w:ascii="Gentium Basic" w:eastAsia="Gentium Basic" w:hAnsi="Gentium Basic" w:cs="Gentium Basic"/>
          <w:color w:val="262626"/>
          <w:sz w:val="16"/>
          <w:szCs w:val="16"/>
        </w:rPr>
      </w:pPr>
      <w:hyperlink r:id="rId7">
        <w:r>
          <w:rPr>
            <w:rFonts w:ascii="Gentium Basic" w:eastAsia="Gentium Basic" w:hAnsi="Gentium Basic" w:cs="Gentium Basic"/>
            <w:color w:val="1155CC"/>
            <w:sz w:val="16"/>
            <w:szCs w:val="16"/>
            <w:u w:val="single"/>
          </w:rPr>
          <w:t>http://www.casel.org/wp-content/uploads/2016/09/Sept.-14-2016-Congressional-Briefing-on-SEL-and-Employability-Skills.pdf</w:t>
        </w:r>
      </w:hyperlink>
    </w:p>
    <w:p w14:paraId="0000004A" w14:textId="77777777" w:rsidR="006A0C3B" w:rsidRDefault="006A0C3B">
      <w:pPr>
        <w:rPr>
          <w:rFonts w:ascii="Gentium Basic" w:eastAsia="Gentium Basic" w:hAnsi="Gentium Basic" w:cs="Gentium Basic"/>
          <w:color w:val="262626"/>
          <w:sz w:val="16"/>
          <w:szCs w:val="16"/>
        </w:rPr>
      </w:pPr>
    </w:p>
    <w:p w14:paraId="0000004B"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color w:val="262626"/>
          <w:sz w:val="28"/>
          <w:szCs w:val="28"/>
        </w:rPr>
        <w:t>Nationally representative surveys in the United States show that over half of manufacturers13 and business CEOs14 have serious problem</w:t>
      </w:r>
      <w:r>
        <w:rPr>
          <w:rFonts w:ascii="Gentium Basic" w:eastAsia="Gentium Basic" w:hAnsi="Gentium Basic" w:cs="Gentium Basic"/>
          <w:color w:val="262626"/>
          <w:sz w:val="28"/>
          <w:szCs w:val="28"/>
        </w:rPr>
        <w:t>s finding workers with the skills they need for workplace success. According to them, the number one skills deficiency is problem solving.</w:t>
      </w:r>
      <w:r>
        <w:rPr>
          <w:rFonts w:ascii="Gentium Basic" w:eastAsia="Gentium Basic" w:hAnsi="Gentium Basic" w:cs="Gentium Basic"/>
          <w:sz w:val="28"/>
          <w:szCs w:val="28"/>
        </w:rPr>
        <w:t xml:space="preserve"> </w:t>
      </w:r>
    </w:p>
    <w:p w14:paraId="0000004C" w14:textId="77777777" w:rsidR="006A0C3B" w:rsidRDefault="006A0C3B">
      <w:pPr>
        <w:spacing w:after="0" w:line="240" w:lineRule="auto"/>
        <w:rPr>
          <w:rFonts w:ascii="Gentium Basic" w:eastAsia="Gentium Basic" w:hAnsi="Gentium Basic" w:cs="Gentium Basic"/>
        </w:rPr>
      </w:pPr>
    </w:p>
    <w:p w14:paraId="0000004D" w14:textId="77777777" w:rsidR="006A0C3B" w:rsidRDefault="008D4990">
      <w:pPr>
        <w:rPr>
          <w:rFonts w:ascii="Gentium Basic" w:eastAsia="Gentium Basic" w:hAnsi="Gentium Basic" w:cs="Gentium Basic"/>
          <w:color w:val="262626"/>
          <w:sz w:val="16"/>
          <w:szCs w:val="16"/>
        </w:rPr>
      </w:pPr>
      <w:r>
        <w:rPr>
          <w:rFonts w:ascii="Gentium Basic" w:eastAsia="Gentium Basic" w:hAnsi="Gentium Basic" w:cs="Gentium Basic"/>
          <w:color w:val="262626"/>
          <w:sz w:val="16"/>
          <w:szCs w:val="16"/>
        </w:rPr>
        <w:t>http://www.casel.org/wp-content/uploads/2016/09/Sept.-14-2016-Congressional-Briefing-on-SEL-and-Employability-Skill</w:t>
      </w:r>
      <w:r>
        <w:rPr>
          <w:rFonts w:ascii="Gentium Basic" w:eastAsia="Gentium Basic" w:hAnsi="Gentium Basic" w:cs="Gentium Basic"/>
          <w:color w:val="262626"/>
          <w:sz w:val="16"/>
          <w:szCs w:val="16"/>
        </w:rPr>
        <w:t>s.pdf</w:t>
      </w:r>
    </w:p>
    <w:p w14:paraId="0000004E" w14:textId="77777777" w:rsidR="006A0C3B" w:rsidRDefault="006A0C3B">
      <w:pPr>
        <w:spacing w:after="0" w:line="240" w:lineRule="auto"/>
        <w:rPr>
          <w:rFonts w:ascii="Gentium Basic" w:eastAsia="Gentium Basic" w:hAnsi="Gentium Basic" w:cs="Gentium Basic"/>
          <w:color w:val="262626"/>
          <w:sz w:val="28"/>
          <w:szCs w:val="28"/>
        </w:rPr>
      </w:pPr>
    </w:p>
    <w:p w14:paraId="0000004F"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color w:val="262626"/>
          <w:sz w:val="28"/>
          <w:szCs w:val="28"/>
        </w:rPr>
        <w:t>Of the 16 skills identified in a World Economic Forum report as important for the 21st century—including foundational literacies, competency in approaching challenges, and character qualities—12 are social and emotional skills.</w:t>
      </w:r>
      <w:r>
        <w:rPr>
          <w:rFonts w:ascii="Gentium Basic" w:eastAsia="Gentium Basic" w:hAnsi="Gentium Basic" w:cs="Gentium Basic"/>
          <w:sz w:val="28"/>
          <w:szCs w:val="28"/>
        </w:rPr>
        <w:t xml:space="preserve"> </w:t>
      </w:r>
    </w:p>
    <w:p w14:paraId="00000050" w14:textId="77777777" w:rsidR="006A0C3B" w:rsidRDefault="006A0C3B">
      <w:pPr>
        <w:spacing w:after="0" w:line="240" w:lineRule="auto"/>
        <w:rPr>
          <w:rFonts w:ascii="Gentium Basic" w:eastAsia="Gentium Basic" w:hAnsi="Gentium Basic" w:cs="Gentium Basic"/>
        </w:rPr>
      </w:pPr>
    </w:p>
    <w:p w14:paraId="00000051" w14:textId="77777777" w:rsidR="006A0C3B" w:rsidRDefault="008D4990">
      <w:pPr>
        <w:rPr>
          <w:rFonts w:ascii="Gentium Basic" w:eastAsia="Gentium Basic" w:hAnsi="Gentium Basic" w:cs="Gentium Basic"/>
          <w:color w:val="262626"/>
          <w:sz w:val="16"/>
          <w:szCs w:val="16"/>
        </w:rPr>
      </w:pPr>
      <w:hyperlink r:id="rId8">
        <w:r>
          <w:rPr>
            <w:rFonts w:ascii="Gentium Basic" w:eastAsia="Gentium Basic" w:hAnsi="Gentium Basic" w:cs="Gentium Basic"/>
            <w:color w:val="1155CC"/>
            <w:sz w:val="16"/>
            <w:szCs w:val="16"/>
            <w:u w:val="single"/>
          </w:rPr>
          <w:t>http://www.casel.org/wp-content/uploads/2016/09/Sept.-14-2016-Congressional-Briefing-on-SEL-and-Employability-Skills.pdf</w:t>
        </w:r>
      </w:hyperlink>
    </w:p>
    <w:p w14:paraId="00000052" w14:textId="77777777" w:rsidR="006A0C3B" w:rsidRDefault="008D4990">
      <w:pPr>
        <w:rPr>
          <w:rFonts w:ascii="Gentium Basic" w:eastAsia="Gentium Basic" w:hAnsi="Gentium Basic" w:cs="Gentium Basic"/>
          <w:color w:val="262626"/>
          <w:sz w:val="16"/>
          <w:szCs w:val="16"/>
        </w:rPr>
      </w:pPr>
      <w:r>
        <w:br w:type="page"/>
      </w:r>
    </w:p>
    <w:p w14:paraId="00000053" w14:textId="77777777" w:rsidR="006A0C3B" w:rsidRDefault="006A0C3B">
      <w:pPr>
        <w:rPr>
          <w:rFonts w:ascii="Gentium Basic" w:eastAsia="Gentium Basic" w:hAnsi="Gentium Basic" w:cs="Gentium Basic"/>
          <w:color w:val="262626"/>
          <w:sz w:val="16"/>
          <w:szCs w:val="16"/>
        </w:rPr>
      </w:pPr>
    </w:p>
    <w:p w14:paraId="00000054" w14:textId="77777777" w:rsidR="006A0C3B" w:rsidRDefault="008D4990">
      <w:pPr>
        <w:rPr>
          <w:rFonts w:ascii="Gentium Basic" w:eastAsia="Gentium Basic" w:hAnsi="Gentium Basic" w:cs="Gentium Basic"/>
          <w:sz w:val="24"/>
          <w:szCs w:val="24"/>
          <w:u w:val="single"/>
        </w:rPr>
      </w:pPr>
      <w:r>
        <w:rPr>
          <w:rFonts w:ascii="Gentium Basic" w:eastAsia="Gentium Basic" w:hAnsi="Gentium Basic" w:cs="Gentium Basic"/>
          <w:sz w:val="24"/>
          <w:szCs w:val="24"/>
          <w:u w:val="single"/>
        </w:rPr>
        <w:t>Theme: Risk</w:t>
      </w:r>
      <w:r>
        <w:rPr>
          <w:rFonts w:ascii="Gentium Basic" w:eastAsia="Gentium Basic" w:hAnsi="Gentium Basic" w:cs="Gentium Basic"/>
          <w:sz w:val="24"/>
          <w:szCs w:val="24"/>
          <w:u w:val="single"/>
        </w:rPr>
        <w:t>y Behavior</w:t>
      </w:r>
    </w:p>
    <w:p w14:paraId="00000055" w14:textId="77777777" w:rsidR="006A0C3B" w:rsidRDefault="008D4990">
      <w:pPr>
        <w:rPr>
          <w:rFonts w:ascii="Gentium Basic" w:eastAsia="Gentium Basic" w:hAnsi="Gentium Basic" w:cs="Gentium Basic"/>
          <w:sz w:val="24"/>
          <w:szCs w:val="24"/>
        </w:rPr>
      </w:pPr>
      <w:r>
        <w:rPr>
          <w:rFonts w:ascii="Gentium Basic" w:eastAsia="Gentium Basic" w:hAnsi="Gentium Basic" w:cs="Gentium Basic"/>
          <w:sz w:val="24"/>
          <w:szCs w:val="24"/>
        </w:rPr>
        <w:t>Envelope 3</w:t>
      </w:r>
    </w:p>
    <w:p w14:paraId="00000056" w14:textId="77777777" w:rsidR="006A0C3B" w:rsidRDefault="006A0C3B">
      <w:pPr>
        <w:rPr>
          <w:rFonts w:ascii="Gentium Basic" w:eastAsia="Gentium Basic" w:hAnsi="Gentium Basic" w:cs="Gentium Basic"/>
          <w:sz w:val="24"/>
          <w:szCs w:val="24"/>
          <w:u w:val="single"/>
        </w:rPr>
      </w:pPr>
    </w:p>
    <w:p w14:paraId="00000057" w14:textId="77777777" w:rsidR="006A0C3B" w:rsidRDefault="008D4990">
      <w:pPr>
        <w:rPr>
          <w:rFonts w:ascii="Gentium Basic" w:eastAsia="Gentium Basic" w:hAnsi="Gentium Basic" w:cs="Gentium Basic"/>
          <w:sz w:val="28"/>
          <w:szCs w:val="28"/>
        </w:rPr>
      </w:pPr>
      <w:r>
        <w:rPr>
          <w:rFonts w:ascii="Gentium Basic" w:eastAsia="Gentium Basic" w:hAnsi="Gentium Basic" w:cs="Gentium Basic"/>
          <w:sz w:val="28"/>
          <w:szCs w:val="28"/>
        </w:rPr>
        <w:t xml:space="preserve">The study  (A 2015 national </w:t>
      </w:r>
      <w:hyperlink r:id="rId9">
        <w:r>
          <w:rPr>
            <w:rFonts w:ascii="Gentium Basic" w:eastAsia="Gentium Basic" w:hAnsi="Gentium Basic" w:cs="Gentium Basic"/>
            <w:sz w:val="28"/>
            <w:szCs w:val="28"/>
          </w:rPr>
          <w:t>study</w:t>
        </w:r>
      </w:hyperlink>
      <w:r>
        <w:rPr>
          <w:rFonts w:ascii="Gentium Basic" w:eastAsia="Gentium Basic" w:hAnsi="Gentium Basic" w:cs="Gentium Basic"/>
          <w:sz w:val="28"/>
          <w:szCs w:val="28"/>
        </w:rPr>
        <w:t xml:space="preserve"> published in the </w:t>
      </w:r>
      <w:r>
        <w:rPr>
          <w:rFonts w:ascii="Gentium Basic" w:eastAsia="Gentium Basic" w:hAnsi="Gentium Basic" w:cs="Gentium Basic"/>
          <w:i/>
          <w:sz w:val="28"/>
          <w:szCs w:val="28"/>
        </w:rPr>
        <w:t>American Journal of Public Health</w:t>
      </w:r>
      <w:r>
        <w:rPr>
          <w:rFonts w:ascii="Gentium Basic" w:eastAsia="Gentium Basic" w:hAnsi="Gentium Basic" w:cs="Gentium Basic"/>
          <w:sz w:val="28"/>
          <w:szCs w:val="28"/>
        </w:rPr>
        <w:t xml:space="preserve"> ) concluded that early prosocial skills decreased the likelihood of living in or being on a waiting list for public housing, receiving public assistance, having any involvement with police before adulthood, and ever spending time in a detention facility.</w:t>
      </w:r>
    </w:p>
    <w:p w14:paraId="00000058" w14:textId="77777777" w:rsidR="006A0C3B" w:rsidRDefault="006A0C3B">
      <w:pPr>
        <w:rPr>
          <w:rFonts w:ascii="Gentium Basic" w:eastAsia="Gentium Basic" w:hAnsi="Gentium Basic" w:cs="Gentium Basic"/>
          <w:sz w:val="28"/>
          <w:szCs w:val="28"/>
        </w:rPr>
      </w:pPr>
    </w:p>
    <w:p w14:paraId="00000059" w14:textId="77777777" w:rsidR="006A0C3B" w:rsidRDefault="008D4990">
      <w:pPr>
        <w:rPr>
          <w:rFonts w:ascii="Gentium Basic" w:eastAsia="Gentium Basic" w:hAnsi="Gentium Basic" w:cs="Gentium Basic"/>
          <w:color w:val="636467"/>
          <w:sz w:val="28"/>
          <w:szCs w:val="28"/>
        </w:rPr>
      </w:pPr>
      <w:r>
        <w:rPr>
          <w:rFonts w:ascii="Gentium Basic" w:eastAsia="Gentium Basic" w:hAnsi="Gentium Basic" w:cs="Gentium Basic"/>
          <w:sz w:val="28"/>
          <w:szCs w:val="28"/>
        </w:rPr>
        <w:t>A longitudinal study following more than 1,000 children found that early self- control predicted a range of long-term outcomes, including better physical health and personal finances, and lower substance dependence and criminal activity</w:t>
      </w:r>
      <w:r>
        <w:rPr>
          <w:rFonts w:ascii="Gentium Basic" w:eastAsia="Gentium Basic" w:hAnsi="Gentium Basic" w:cs="Gentium Basic"/>
          <w:color w:val="636467"/>
          <w:sz w:val="28"/>
          <w:szCs w:val="28"/>
        </w:rPr>
        <w:t>.</w:t>
      </w:r>
    </w:p>
    <w:p w14:paraId="0000005A" w14:textId="77777777" w:rsidR="006A0C3B" w:rsidRDefault="008D4990">
      <w:pPr>
        <w:rPr>
          <w:rFonts w:ascii="Gentium Basic" w:eastAsia="Gentium Basic" w:hAnsi="Gentium Basic" w:cs="Gentium Basic"/>
          <w:color w:val="636467"/>
          <w:sz w:val="16"/>
          <w:szCs w:val="16"/>
        </w:rPr>
      </w:pPr>
      <w:r>
        <w:rPr>
          <w:rFonts w:ascii="Gentium Basic" w:eastAsia="Gentium Basic" w:hAnsi="Gentium Basic" w:cs="Gentium Basic"/>
          <w:color w:val="636467"/>
          <w:sz w:val="16"/>
          <w:szCs w:val="16"/>
        </w:rPr>
        <w:t>Greenberg, Domitr</w:t>
      </w:r>
      <w:r>
        <w:rPr>
          <w:rFonts w:ascii="Gentium Basic" w:eastAsia="Gentium Basic" w:hAnsi="Gentium Basic" w:cs="Gentium Basic"/>
          <w:color w:val="636467"/>
          <w:sz w:val="16"/>
          <w:szCs w:val="16"/>
        </w:rPr>
        <w:t>ovich, Weissberg, &amp; Durlak, 2017; Durlak,Weissberg, Dymnicki, Taylor, &amp; Schellinger, 2011; Farringtonet al., 2012; Sklad, Diekstra, Ritter, Ben, &amp; Gravesteijn, 2012; Weissberg, Durlak, Domitrovich, &amp; Gullotta, 2015; Blair &amp; Razza, 2007; Bull, Espy, &amp; Wiebe</w:t>
      </w:r>
      <w:r>
        <w:rPr>
          <w:rFonts w:ascii="Gentium Basic" w:eastAsia="Gentium Basic" w:hAnsi="Gentium Basic" w:cs="Gentium Basic"/>
          <w:color w:val="636467"/>
          <w:sz w:val="16"/>
          <w:szCs w:val="16"/>
        </w:rPr>
        <w:t>, 2008; Espy et al., 2004; Howse, Lange, Farran, &amp; Boyles, 2003; McClelland et al., 2007; Ponitz et al., 2008; Jones et al., 2017b</w:t>
      </w:r>
    </w:p>
    <w:p w14:paraId="0000005B" w14:textId="77777777" w:rsidR="006A0C3B" w:rsidRDefault="006A0C3B">
      <w:pPr>
        <w:rPr>
          <w:rFonts w:ascii="Gentium Basic" w:eastAsia="Gentium Basic" w:hAnsi="Gentium Basic" w:cs="Gentium Basic"/>
          <w:sz w:val="20"/>
          <w:szCs w:val="20"/>
        </w:rPr>
      </w:pPr>
    </w:p>
    <w:p w14:paraId="0000005C" w14:textId="77777777" w:rsidR="006A0C3B" w:rsidRDefault="008D4990">
      <w:pPr>
        <w:rPr>
          <w:rFonts w:ascii="Gentium Basic" w:eastAsia="Gentium Basic" w:hAnsi="Gentium Basic" w:cs="Gentium Basic"/>
          <w:i/>
          <w:sz w:val="28"/>
          <w:szCs w:val="28"/>
        </w:rPr>
      </w:pPr>
      <w:r>
        <w:rPr>
          <w:rFonts w:ascii="Gentium Basic" w:eastAsia="Gentium Basic" w:hAnsi="Gentium Basic" w:cs="Gentium Basic"/>
          <w:sz w:val="28"/>
          <w:szCs w:val="28"/>
        </w:rPr>
        <w:t>The implementation of social emotional competencies has also shown fewer negative behavioral problems in children and youth (i.e. aggression, bullying, disruptive classroom behavior, delinquent behaviors, and ill-discipline) and less emotional pain (i.e. d</w:t>
      </w:r>
      <w:r>
        <w:rPr>
          <w:rFonts w:ascii="Gentium Basic" w:eastAsia="Gentium Basic" w:hAnsi="Gentium Basic" w:cs="Gentium Basic"/>
          <w:sz w:val="28"/>
          <w:szCs w:val="28"/>
        </w:rPr>
        <w:t>epression, anxiety, social withdrawal, and stress).</w:t>
      </w:r>
      <w:r>
        <w:rPr>
          <w:rFonts w:ascii="Gentium Basic" w:eastAsia="Gentium Basic" w:hAnsi="Gentium Basic" w:cs="Gentium Basic"/>
          <w:i/>
          <w:sz w:val="28"/>
          <w:szCs w:val="28"/>
        </w:rPr>
        <w:t xml:space="preserve"> </w:t>
      </w:r>
    </w:p>
    <w:p w14:paraId="0000005D" w14:textId="77777777" w:rsidR="006A0C3B" w:rsidRDefault="008D4990">
      <w:pPr>
        <w:rPr>
          <w:rFonts w:ascii="Gentium Basic" w:eastAsia="Gentium Basic" w:hAnsi="Gentium Basic" w:cs="Gentium Basic"/>
          <w:i/>
          <w:sz w:val="20"/>
          <w:szCs w:val="20"/>
        </w:rPr>
      </w:pPr>
      <w:hyperlink r:id="rId10">
        <w:r>
          <w:rPr>
            <w:rFonts w:ascii="Gentium Basic" w:eastAsia="Gentium Basic" w:hAnsi="Gentium Basic" w:cs="Gentium Basic"/>
            <w:color w:val="000000"/>
            <w:sz w:val="16"/>
            <w:szCs w:val="16"/>
            <w:u w:val="single"/>
          </w:rPr>
          <w:t>https://everypiecematters.com/jget/volume01-issue01/social-emotional-l</w:t>
        </w:r>
        <w:r>
          <w:rPr>
            <w:rFonts w:ascii="Gentium Basic" w:eastAsia="Gentium Basic" w:hAnsi="Gentium Basic" w:cs="Gentium Basic"/>
            <w:color w:val="000000"/>
            <w:sz w:val="16"/>
            <w:szCs w:val="16"/>
            <w:u w:val="single"/>
          </w:rPr>
          <w:t>earning-and-at-risk-children-and-youth.html</w:t>
        </w:r>
      </w:hyperlink>
    </w:p>
    <w:p w14:paraId="0000005E" w14:textId="77777777" w:rsidR="006A0C3B" w:rsidRDefault="006A0C3B">
      <w:pPr>
        <w:rPr>
          <w:rFonts w:ascii="Gentium Basic" w:eastAsia="Gentium Basic" w:hAnsi="Gentium Basic" w:cs="Gentium Basic"/>
          <w:i/>
          <w:sz w:val="20"/>
          <w:szCs w:val="20"/>
        </w:rPr>
      </w:pPr>
    </w:p>
    <w:p w14:paraId="0000005F" w14:textId="77777777" w:rsidR="006A0C3B" w:rsidRDefault="008D4990">
      <w:pPr>
        <w:rPr>
          <w:rFonts w:ascii="Gentium Basic" w:eastAsia="Gentium Basic" w:hAnsi="Gentium Basic" w:cs="Gentium Basic"/>
          <w:sz w:val="28"/>
          <w:szCs w:val="28"/>
        </w:rPr>
      </w:pPr>
      <w:r>
        <w:rPr>
          <w:rFonts w:ascii="Gentium Basic" w:eastAsia="Gentium Basic" w:hAnsi="Gentium Basic" w:cs="Gentium Basic"/>
          <w:sz w:val="28"/>
          <w:szCs w:val="28"/>
        </w:rPr>
        <w:t>Study findings suggest that SEI may provide a protective buffer against sexual risk behaviors. Building adolescent girls’ social and emotional skills may be an effective strategy for reducing their risk for earl</w:t>
      </w:r>
      <w:r>
        <w:rPr>
          <w:rFonts w:ascii="Gentium Basic" w:eastAsia="Gentium Basic" w:hAnsi="Gentium Basic" w:cs="Gentium Basic"/>
          <w:sz w:val="28"/>
          <w:szCs w:val="28"/>
        </w:rPr>
        <w:t xml:space="preserve">y pregnancy and sexually transmitted infections.  </w:t>
      </w:r>
    </w:p>
    <w:p w14:paraId="00000060" w14:textId="77777777" w:rsidR="006A0C3B" w:rsidRDefault="008D4990">
      <w:pPr>
        <w:rPr>
          <w:rFonts w:ascii="Gentium Basic" w:eastAsia="Gentium Basic" w:hAnsi="Gentium Basic" w:cs="Gentium Basic"/>
          <w:sz w:val="20"/>
          <w:szCs w:val="20"/>
        </w:rPr>
      </w:pPr>
      <w:r>
        <w:rPr>
          <w:rFonts w:ascii="Gentium Basic" w:eastAsia="Gentium Basic" w:hAnsi="Gentium Basic" w:cs="Gentium Basic"/>
          <w:sz w:val="16"/>
          <w:szCs w:val="16"/>
        </w:rPr>
        <w:t xml:space="preserve">Relationships Between Social-Emotional Intelligence and Sexual Risk Behaviors in Adolescent Girls </w:t>
      </w:r>
      <w:hyperlink r:id="rId11">
        <w:r>
          <w:rPr>
            <w:rFonts w:ascii="Gentium Basic" w:eastAsia="Gentium Basic" w:hAnsi="Gentium Basic" w:cs="Gentium Basic"/>
            <w:color w:val="000000"/>
            <w:sz w:val="16"/>
            <w:szCs w:val="16"/>
          </w:rPr>
          <w:t>Elizabeth Lando-King</w:t>
        </w:r>
      </w:hyperlink>
      <w:hyperlink r:id="rId12">
        <w:r>
          <w:rPr>
            <w:rFonts w:ascii="Gentium Basic" w:eastAsia="Gentium Basic" w:hAnsi="Gentium Basic" w:cs="Gentium Basic"/>
            <w:sz w:val="16"/>
            <w:szCs w:val="16"/>
          </w:rPr>
          <w:t xml:space="preserve"> School of Nursing, University of Minnesota</w:t>
        </w:r>
      </w:hyperlink>
      <w:r>
        <w:rPr>
          <w:rFonts w:ascii="Gentium Basic" w:eastAsia="Gentium Basic" w:hAnsi="Gentium Basic" w:cs="Gentium Basic"/>
          <w:sz w:val="16"/>
          <w:szCs w:val="16"/>
        </w:rPr>
        <w:t xml:space="preserve">, </w:t>
      </w:r>
      <w:hyperlink r:id="rId13">
        <w:r>
          <w:rPr>
            <w:rFonts w:ascii="Gentium Basic" w:eastAsia="Gentium Basic" w:hAnsi="Gentium Basic" w:cs="Gentium Basic"/>
            <w:color w:val="000000"/>
            <w:sz w:val="16"/>
            <w:szCs w:val="16"/>
          </w:rPr>
          <w:t>Annie-Laurie McRee</w:t>
        </w:r>
      </w:hyperlink>
      <w:hyperlink r:id="rId14">
        <w:r>
          <w:rPr>
            <w:rFonts w:ascii="Gentium Basic" w:eastAsia="Gentium Basic" w:hAnsi="Gentium Basic" w:cs="Gentium Basic"/>
            <w:sz w:val="16"/>
            <w:szCs w:val="16"/>
          </w:rPr>
          <w:t xml:space="preserve"> Division of Health Behavior and Health Promotion, College of Public Health, The Ohio State University</w:t>
        </w:r>
      </w:hyperlink>
      <w:r>
        <w:rPr>
          <w:rFonts w:ascii="Gentium Basic" w:eastAsia="Gentium Basic" w:hAnsi="Gentium Basic" w:cs="Gentium Basic"/>
          <w:sz w:val="16"/>
          <w:szCs w:val="16"/>
        </w:rPr>
        <w:t xml:space="preserve">, </w:t>
      </w:r>
      <w:hyperlink r:id="rId15">
        <w:r>
          <w:rPr>
            <w:rFonts w:ascii="Gentium Basic" w:eastAsia="Gentium Basic" w:hAnsi="Gentium Basic" w:cs="Gentium Basic"/>
            <w:color w:val="000000"/>
            <w:sz w:val="16"/>
            <w:szCs w:val="16"/>
          </w:rPr>
          <w:t>Amy L. Gower</w:t>
        </w:r>
      </w:hyperlink>
      <w:hyperlink r:id="rId16">
        <w:r>
          <w:rPr>
            <w:rFonts w:ascii="Gentium Basic" w:eastAsia="Gentium Basic" w:hAnsi="Gentium Basic" w:cs="Gentium Basic"/>
            <w:sz w:val="16"/>
            <w:szCs w:val="16"/>
          </w:rPr>
          <w:t xml:space="preserve"> Division of General Pediatrics and Adolescent Health, Department of Pediatrics, University of Minnesota</w:t>
        </w:r>
      </w:hyperlink>
      <w:r>
        <w:rPr>
          <w:rFonts w:ascii="Gentium Basic" w:eastAsia="Gentium Basic" w:hAnsi="Gentium Basic" w:cs="Gentium Basic"/>
          <w:sz w:val="16"/>
          <w:szCs w:val="16"/>
        </w:rPr>
        <w:t xml:space="preserve">, </w:t>
      </w:r>
      <w:hyperlink r:id="rId17">
        <w:r>
          <w:rPr>
            <w:rFonts w:ascii="Gentium Basic" w:eastAsia="Gentium Basic" w:hAnsi="Gentium Basic" w:cs="Gentium Basic"/>
            <w:color w:val="000000"/>
            <w:sz w:val="16"/>
            <w:szCs w:val="16"/>
          </w:rPr>
          <w:t>Rebecca J. Shlafer</w:t>
        </w:r>
      </w:hyperlink>
      <w:hyperlink r:id="rId18">
        <w:r>
          <w:rPr>
            <w:rFonts w:ascii="Gentium Basic" w:eastAsia="Gentium Basic" w:hAnsi="Gentium Basic" w:cs="Gentium Basic"/>
            <w:sz w:val="16"/>
            <w:szCs w:val="16"/>
          </w:rPr>
          <w:t xml:space="preserve"> Division of General Pediatrics and Adolescent Health, Department of Pediatrics, University of Minnesota</w:t>
        </w:r>
      </w:hyperlink>
      <w:r>
        <w:rPr>
          <w:rFonts w:ascii="Gentium Basic" w:eastAsia="Gentium Basic" w:hAnsi="Gentium Basic" w:cs="Gentium Basic"/>
          <w:sz w:val="16"/>
          <w:szCs w:val="16"/>
        </w:rPr>
        <w:t xml:space="preserve">, </w:t>
      </w:r>
      <w:hyperlink r:id="rId19">
        <w:r>
          <w:rPr>
            <w:rFonts w:ascii="Gentium Basic" w:eastAsia="Gentium Basic" w:hAnsi="Gentium Basic" w:cs="Gentium Basic"/>
            <w:color w:val="000000"/>
            <w:sz w:val="16"/>
            <w:szCs w:val="16"/>
          </w:rPr>
          <w:t>B</w:t>
        </w:r>
        <w:r>
          <w:rPr>
            <w:rFonts w:ascii="Gentium Basic" w:eastAsia="Gentium Basic" w:hAnsi="Gentium Basic" w:cs="Gentium Basic"/>
            <w:color w:val="000000"/>
            <w:sz w:val="16"/>
            <w:szCs w:val="16"/>
          </w:rPr>
          <w:t>arbara J. McMorris</w:t>
        </w:r>
      </w:hyperlink>
      <w:hyperlink r:id="rId20">
        <w:r>
          <w:rPr>
            <w:rFonts w:ascii="Gentium Basic" w:eastAsia="Gentium Basic" w:hAnsi="Gentium Basic" w:cs="Gentium Basic"/>
            <w:sz w:val="16"/>
            <w:szCs w:val="16"/>
          </w:rPr>
          <w:t xml:space="preserve"> School of Nursing, University of Minnesota; Division of General Pediatrics and Adolescent Health, Department of Pediatrics, University of Minnesota</w:t>
        </w:r>
      </w:hyperlink>
      <w:r>
        <w:rPr>
          <w:rFonts w:ascii="Gentium Basic" w:eastAsia="Gentium Basic" w:hAnsi="Gentium Basic" w:cs="Gentium Basic"/>
          <w:sz w:val="16"/>
          <w:szCs w:val="16"/>
        </w:rPr>
        <w:t xml:space="preserve">, </w:t>
      </w:r>
      <w:hyperlink r:id="rId21">
        <w:r>
          <w:rPr>
            <w:rFonts w:ascii="Gentium Basic" w:eastAsia="Gentium Basic" w:hAnsi="Gentium Basic" w:cs="Gentium Basic"/>
            <w:color w:val="000000"/>
            <w:sz w:val="16"/>
            <w:szCs w:val="16"/>
          </w:rPr>
          <w:t>Sandra Pettingell</w:t>
        </w:r>
      </w:hyperlink>
      <w:hyperlink r:id="rId22">
        <w:r>
          <w:rPr>
            <w:rFonts w:ascii="Gentium Basic" w:eastAsia="Gentium Basic" w:hAnsi="Gentium Basic" w:cs="Gentium Basic"/>
            <w:sz w:val="16"/>
            <w:szCs w:val="16"/>
          </w:rPr>
          <w:t xml:space="preserve"> School of Nursing, University of Minnesota</w:t>
        </w:r>
      </w:hyperlink>
      <w:r>
        <w:rPr>
          <w:rFonts w:ascii="Gentium Basic" w:eastAsia="Gentium Basic" w:hAnsi="Gentium Basic" w:cs="Gentium Basic"/>
          <w:sz w:val="16"/>
          <w:szCs w:val="16"/>
        </w:rPr>
        <w:t xml:space="preserve"> &amp; </w:t>
      </w:r>
      <w:hyperlink r:id="rId23">
        <w:r>
          <w:rPr>
            <w:rFonts w:ascii="Gentium Basic" w:eastAsia="Gentium Basic" w:hAnsi="Gentium Basic" w:cs="Gentium Basic"/>
            <w:color w:val="000000"/>
            <w:sz w:val="16"/>
            <w:szCs w:val="16"/>
          </w:rPr>
          <w:t>Renee E. Sieving</w:t>
        </w:r>
      </w:hyperlink>
      <w:r>
        <w:rPr>
          <w:rFonts w:ascii="Gentium Basic" w:eastAsia="Gentium Basic" w:hAnsi="Gentium Basic" w:cs="Gentium Basic"/>
          <w:sz w:val="16"/>
          <w:szCs w:val="16"/>
        </w:rPr>
        <w:t xml:space="preserve"> 26 Jan 2015</w:t>
      </w:r>
    </w:p>
    <w:p w14:paraId="00000061" w14:textId="77777777" w:rsidR="006A0C3B" w:rsidRDefault="006A0C3B">
      <w:pPr>
        <w:pStyle w:val="Heading1"/>
        <w:spacing w:after="0" w:line="240" w:lineRule="auto"/>
        <w:rPr>
          <w:rFonts w:ascii="Gentium Basic" w:eastAsia="Gentium Basic" w:hAnsi="Gentium Basic" w:cs="Gentium Basic"/>
          <w:b w:val="0"/>
          <w:color w:val="000000"/>
          <w:sz w:val="28"/>
          <w:szCs w:val="28"/>
        </w:rPr>
      </w:pPr>
    </w:p>
    <w:p w14:paraId="00000062" w14:textId="77777777" w:rsidR="006A0C3B" w:rsidRDefault="006A0C3B">
      <w:pPr>
        <w:pStyle w:val="Heading1"/>
        <w:spacing w:after="0" w:line="240" w:lineRule="auto"/>
        <w:rPr>
          <w:rFonts w:ascii="Gentium Basic" w:eastAsia="Gentium Basic" w:hAnsi="Gentium Basic" w:cs="Gentium Basic"/>
          <w:b w:val="0"/>
          <w:color w:val="000000"/>
          <w:sz w:val="28"/>
          <w:szCs w:val="28"/>
        </w:rPr>
      </w:pPr>
    </w:p>
    <w:p w14:paraId="00000063" w14:textId="77777777" w:rsidR="006A0C3B" w:rsidRDefault="006A0C3B">
      <w:pPr>
        <w:pStyle w:val="Heading1"/>
        <w:spacing w:after="0" w:line="240" w:lineRule="auto"/>
        <w:rPr>
          <w:rFonts w:ascii="Gentium Basic" w:eastAsia="Gentium Basic" w:hAnsi="Gentium Basic" w:cs="Gentium Basic"/>
          <w:b w:val="0"/>
          <w:color w:val="000000"/>
          <w:sz w:val="28"/>
          <w:szCs w:val="28"/>
        </w:rPr>
      </w:pPr>
    </w:p>
    <w:p w14:paraId="00000064" w14:textId="77777777" w:rsidR="006A0C3B" w:rsidRDefault="006A0C3B">
      <w:pPr>
        <w:pStyle w:val="Heading1"/>
        <w:spacing w:after="0" w:line="240" w:lineRule="auto"/>
        <w:rPr>
          <w:rFonts w:ascii="Gentium Basic" w:eastAsia="Gentium Basic" w:hAnsi="Gentium Basic" w:cs="Gentium Basic"/>
          <w:b w:val="0"/>
          <w:color w:val="000000"/>
          <w:sz w:val="28"/>
          <w:szCs w:val="28"/>
        </w:rPr>
      </w:pPr>
    </w:p>
    <w:p w14:paraId="00000065" w14:textId="77777777" w:rsidR="006A0C3B" w:rsidRDefault="006A0C3B">
      <w:pPr>
        <w:pStyle w:val="Heading1"/>
        <w:spacing w:after="0" w:line="240" w:lineRule="auto"/>
        <w:rPr>
          <w:rFonts w:ascii="Gentium Basic" w:eastAsia="Gentium Basic" w:hAnsi="Gentium Basic" w:cs="Gentium Basic"/>
          <w:b w:val="0"/>
          <w:color w:val="000000"/>
          <w:sz w:val="28"/>
          <w:szCs w:val="28"/>
        </w:rPr>
      </w:pPr>
    </w:p>
    <w:p w14:paraId="00000066" w14:textId="77777777" w:rsidR="006A0C3B" w:rsidRDefault="006A0C3B">
      <w:pPr>
        <w:pStyle w:val="Heading1"/>
        <w:spacing w:after="0" w:line="240" w:lineRule="auto"/>
        <w:rPr>
          <w:rFonts w:ascii="Gentium Basic" w:eastAsia="Gentium Basic" w:hAnsi="Gentium Basic" w:cs="Gentium Basic"/>
          <w:b w:val="0"/>
          <w:color w:val="000000"/>
          <w:sz w:val="28"/>
          <w:szCs w:val="28"/>
        </w:rPr>
      </w:pPr>
    </w:p>
    <w:p w14:paraId="00000067" w14:textId="77777777" w:rsidR="006A0C3B" w:rsidRDefault="008D4990">
      <w:pPr>
        <w:pStyle w:val="Heading1"/>
        <w:spacing w:after="0" w:line="240" w:lineRule="auto"/>
        <w:rPr>
          <w:rFonts w:ascii="Gentium Basic" w:eastAsia="Gentium Basic" w:hAnsi="Gentium Basic" w:cs="Gentium Basic"/>
          <w:b w:val="0"/>
          <w:color w:val="000000"/>
          <w:sz w:val="28"/>
          <w:szCs w:val="28"/>
        </w:rPr>
      </w:pPr>
      <w:r>
        <w:rPr>
          <w:rFonts w:ascii="Gentium Basic" w:eastAsia="Gentium Basic" w:hAnsi="Gentium Basic" w:cs="Gentium Basic"/>
          <w:b w:val="0"/>
          <w:color w:val="000000"/>
          <w:sz w:val="28"/>
          <w:szCs w:val="28"/>
        </w:rPr>
        <w:t>This study examined relationships between social-emotional skills and involvement in bullying and violence among young adolescents from ethnically diverse, economically disadvantaged urban neighborhoods. Data were from 171 sixth- and seventh-grade students</w:t>
      </w:r>
      <w:r>
        <w:rPr>
          <w:rFonts w:ascii="Gentium Basic" w:eastAsia="Gentium Basic" w:hAnsi="Gentium Basic" w:cs="Gentium Basic"/>
          <w:b w:val="0"/>
          <w:color w:val="000000"/>
          <w:sz w:val="28"/>
          <w:szCs w:val="28"/>
        </w:rPr>
        <w:t xml:space="preserve"> involved in a larger intervention study. Analyses examined relationships between social-emotional skills measures (intrapersonal skills, stress management skills, interpersonal skills) and involvement in violence, physical bullying, and relational aggress</w:t>
      </w:r>
      <w:r>
        <w:rPr>
          <w:rFonts w:ascii="Gentium Basic" w:eastAsia="Gentium Basic" w:hAnsi="Gentium Basic" w:cs="Gentium Basic"/>
          <w:b w:val="0"/>
          <w:color w:val="000000"/>
          <w:sz w:val="28"/>
          <w:szCs w:val="28"/>
        </w:rPr>
        <w:t>ion. Of social-emotional skills indicators, interpersonal skills and stress management skills demonstrated significant bivariate relationships with each of the bullying and violence outcomes. In multivariate models, greater interpersonal skills and greater</w:t>
      </w:r>
      <w:r>
        <w:rPr>
          <w:rFonts w:ascii="Gentium Basic" w:eastAsia="Gentium Basic" w:hAnsi="Gentium Basic" w:cs="Gentium Basic"/>
          <w:b w:val="0"/>
          <w:color w:val="000000"/>
          <w:sz w:val="28"/>
          <w:szCs w:val="28"/>
        </w:rPr>
        <w:t xml:space="preserve"> stress management skills were significantly associated with lower odds of violence involvement. Greater stress management skills were also significantly associated with lower levels of physical bullying and relational aggression. Findings suggest that eff</w:t>
      </w:r>
      <w:r>
        <w:rPr>
          <w:rFonts w:ascii="Gentium Basic" w:eastAsia="Gentium Basic" w:hAnsi="Gentium Basic" w:cs="Gentium Basic"/>
          <w:b w:val="0"/>
          <w:color w:val="000000"/>
          <w:sz w:val="28"/>
          <w:szCs w:val="28"/>
        </w:rPr>
        <w:t>orts to foster development of young adolescents' social-emotional skills may, in turn, reduce their risk for involvement in bullying and violence.</w:t>
      </w:r>
    </w:p>
    <w:p w14:paraId="00000068" w14:textId="77777777" w:rsidR="006A0C3B" w:rsidRDefault="008D4990">
      <w:pPr>
        <w:pStyle w:val="Heading1"/>
        <w:spacing w:after="0" w:line="240" w:lineRule="auto"/>
        <w:rPr>
          <w:rFonts w:ascii="Gentium Basic" w:eastAsia="Gentium Basic" w:hAnsi="Gentium Basic" w:cs="Gentium Basic"/>
          <w:b w:val="0"/>
          <w:color w:val="000000"/>
          <w:sz w:val="16"/>
          <w:szCs w:val="16"/>
        </w:rPr>
      </w:pPr>
      <w:r>
        <w:rPr>
          <w:rFonts w:ascii="Gentium Basic" w:eastAsia="Gentium Basic" w:hAnsi="Gentium Basic" w:cs="Gentium Basic"/>
          <w:b w:val="0"/>
          <w:color w:val="000000"/>
          <w:sz w:val="20"/>
          <w:szCs w:val="20"/>
        </w:rPr>
        <w:t xml:space="preserve"> </w:t>
      </w:r>
      <w:r>
        <w:rPr>
          <w:rFonts w:ascii="Gentium Basic" w:eastAsia="Gentium Basic" w:hAnsi="Gentium Basic" w:cs="Gentium Basic"/>
          <w:b w:val="0"/>
          <w:color w:val="000000"/>
          <w:sz w:val="16"/>
          <w:szCs w:val="16"/>
        </w:rPr>
        <w:t>Are Young Adolescents' Social and Emotional Skills Protective Against Involvement in Violence and Bullying B</w:t>
      </w:r>
      <w:r>
        <w:rPr>
          <w:rFonts w:ascii="Gentium Basic" w:eastAsia="Gentium Basic" w:hAnsi="Gentium Basic" w:cs="Gentium Basic"/>
          <w:b w:val="0"/>
          <w:color w:val="000000"/>
          <w:sz w:val="16"/>
          <w:szCs w:val="16"/>
        </w:rPr>
        <w:t xml:space="preserve">ehaviors? Julie C. Polan, </w:t>
      </w:r>
      <w:hyperlink r:id="rId24">
        <w:r>
          <w:rPr>
            <w:rFonts w:ascii="Gentium Basic" w:eastAsia="Gentium Basic" w:hAnsi="Gentium Basic" w:cs="Gentium Basic"/>
            <w:b w:val="0"/>
            <w:color w:val="000000"/>
            <w:sz w:val="16"/>
            <w:szCs w:val="16"/>
          </w:rPr>
          <w:t>Renee E. Sieving</w:t>
        </w:r>
      </w:hyperlink>
      <w:r>
        <w:rPr>
          <w:rFonts w:ascii="Gentium Basic" w:eastAsia="Gentium Basic" w:hAnsi="Gentium Basic" w:cs="Gentium Basic"/>
          <w:b w:val="0"/>
          <w:color w:val="000000"/>
          <w:sz w:val="16"/>
          <w:szCs w:val="16"/>
        </w:rPr>
        <w:t xml:space="preserve">, </w:t>
      </w:r>
      <w:hyperlink r:id="rId25">
        <w:r>
          <w:rPr>
            <w:rFonts w:ascii="Gentium Basic" w:eastAsia="Gentium Basic" w:hAnsi="Gentium Basic" w:cs="Gentium Basic"/>
            <w:b w:val="0"/>
            <w:color w:val="000000"/>
            <w:sz w:val="16"/>
            <w:szCs w:val="16"/>
          </w:rPr>
          <w:t>Barbara J. McMorris</w:t>
        </w:r>
      </w:hyperlink>
      <w:r>
        <w:rPr>
          <w:rFonts w:ascii="Gentium Basic" w:eastAsia="Gentium Basic" w:hAnsi="Gentium Basic" w:cs="Gentium Basic"/>
          <w:b w:val="0"/>
          <w:color w:val="000000"/>
          <w:sz w:val="16"/>
          <w:szCs w:val="16"/>
        </w:rPr>
        <w:t xml:space="preserve"> July 2013</w:t>
      </w:r>
    </w:p>
    <w:p w14:paraId="00000069" w14:textId="77777777" w:rsidR="006A0C3B" w:rsidRDefault="008D4990">
      <w:r>
        <w:br w:type="page"/>
      </w:r>
    </w:p>
    <w:p w14:paraId="0000006A" w14:textId="77777777" w:rsidR="006A0C3B" w:rsidRDefault="006A0C3B"/>
    <w:p w14:paraId="0000006B" w14:textId="77777777" w:rsidR="006A0C3B" w:rsidRDefault="008D4990">
      <w:pPr>
        <w:pStyle w:val="Heading1"/>
        <w:spacing w:before="0" w:line="240" w:lineRule="auto"/>
        <w:rPr>
          <w:rFonts w:ascii="Gentium Basic" w:eastAsia="Gentium Basic" w:hAnsi="Gentium Basic" w:cs="Gentium Basic"/>
          <w:b w:val="0"/>
          <w:sz w:val="24"/>
          <w:szCs w:val="24"/>
          <w:u w:val="single"/>
        </w:rPr>
      </w:pPr>
      <w:r>
        <w:rPr>
          <w:rFonts w:ascii="Gentium Basic" w:eastAsia="Gentium Basic" w:hAnsi="Gentium Basic" w:cs="Gentium Basic"/>
          <w:b w:val="0"/>
          <w:sz w:val="24"/>
          <w:szCs w:val="24"/>
          <w:u w:val="single"/>
        </w:rPr>
        <w:t>Theme: Financial</w:t>
      </w:r>
    </w:p>
    <w:p w14:paraId="0000006C" w14:textId="77777777" w:rsidR="006A0C3B" w:rsidRDefault="008D4990">
      <w:pPr>
        <w:rPr>
          <w:rFonts w:ascii="Gentium Basic" w:eastAsia="Gentium Basic" w:hAnsi="Gentium Basic" w:cs="Gentium Basic"/>
          <w:sz w:val="24"/>
          <w:szCs w:val="24"/>
        </w:rPr>
      </w:pPr>
      <w:r>
        <w:rPr>
          <w:rFonts w:ascii="Gentium Basic" w:eastAsia="Gentium Basic" w:hAnsi="Gentium Basic" w:cs="Gentium Basic"/>
          <w:sz w:val="24"/>
          <w:szCs w:val="24"/>
        </w:rPr>
        <w:t>Envelope 4</w:t>
      </w:r>
    </w:p>
    <w:p w14:paraId="0000006D" w14:textId="77777777" w:rsidR="006A0C3B" w:rsidRDefault="008D4990">
      <w:pPr>
        <w:rPr>
          <w:rFonts w:ascii="Gentium Basic" w:eastAsia="Gentium Basic" w:hAnsi="Gentium Basic" w:cs="Gentium Basic"/>
          <w:sz w:val="28"/>
          <w:szCs w:val="28"/>
        </w:rPr>
      </w:pPr>
      <w:r>
        <w:rPr>
          <w:rFonts w:ascii="Gentium Basic" w:eastAsia="Gentium Basic" w:hAnsi="Gentium Basic" w:cs="Gentium Basic"/>
          <w:sz w:val="28"/>
          <w:szCs w:val="28"/>
        </w:rPr>
        <w:t xml:space="preserve">According to a 2015 </w:t>
      </w:r>
      <w:hyperlink r:id="rId26">
        <w:r>
          <w:rPr>
            <w:rFonts w:ascii="Gentium Basic" w:eastAsia="Gentium Basic" w:hAnsi="Gentium Basic" w:cs="Gentium Basic"/>
            <w:sz w:val="28"/>
            <w:szCs w:val="28"/>
          </w:rPr>
          <w:t>report</w:t>
        </w:r>
      </w:hyperlink>
      <w:r>
        <w:rPr>
          <w:rFonts w:ascii="Gentium Basic" w:eastAsia="Gentium Basic" w:hAnsi="Gentium Basic" w:cs="Gentium Basic"/>
          <w:sz w:val="28"/>
          <w:szCs w:val="28"/>
        </w:rPr>
        <w:t xml:space="preserve"> by the American Enterprise Institute and the Brookings Institution, SEL competencies are critically i</w:t>
      </w:r>
      <w:r>
        <w:rPr>
          <w:rFonts w:ascii="Gentium Basic" w:eastAsia="Gentium Basic" w:hAnsi="Gentium Basic" w:cs="Gentium Basic"/>
          <w:sz w:val="28"/>
          <w:szCs w:val="28"/>
        </w:rPr>
        <w:t>mportant for the long-term success of all students in today’s economy. This report was developed by a group of bipartisan experts who agreed to set aside their differences and create a detailed plan for reducing poverty and increasing economic mobility.</w:t>
      </w:r>
    </w:p>
    <w:p w14:paraId="0000006E" w14:textId="77777777" w:rsidR="006A0C3B" w:rsidRDefault="008D4990">
      <w:pPr>
        <w:spacing w:after="0" w:line="240" w:lineRule="auto"/>
        <w:rPr>
          <w:rFonts w:ascii="Gentium Basic" w:eastAsia="Gentium Basic" w:hAnsi="Gentium Basic" w:cs="Gentium Basic"/>
          <w:color w:val="636467"/>
          <w:sz w:val="16"/>
          <w:szCs w:val="16"/>
        </w:rPr>
      </w:pPr>
      <w:r>
        <w:rPr>
          <w:rFonts w:ascii="Gentium Basic" w:eastAsia="Gentium Basic" w:hAnsi="Gentium Basic" w:cs="Gentium Basic"/>
          <w:sz w:val="16"/>
          <w:szCs w:val="16"/>
        </w:rPr>
        <w:t>Ca</w:t>
      </w:r>
      <w:r>
        <w:rPr>
          <w:rFonts w:ascii="Gentium Basic" w:eastAsia="Gentium Basic" w:hAnsi="Gentium Basic" w:cs="Gentium Basic"/>
          <w:sz w:val="16"/>
          <w:szCs w:val="16"/>
        </w:rPr>
        <w:t>pella, Blair, &amp; Aber, 2016; Jones &amp; Bouffard, 2012; Nagaoka, Farrington, Ehrlich &amp; Heath, 2015</w:t>
      </w:r>
    </w:p>
    <w:p w14:paraId="0000006F" w14:textId="77777777" w:rsidR="006A0C3B" w:rsidRDefault="006A0C3B">
      <w:pPr>
        <w:rPr>
          <w:rFonts w:ascii="Gentium Basic" w:eastAsia="Gentium Basic" w:hAnsi="Gentium Basic" w:cs="Gentium Basic"/>
          <w:sz w:val="28"/>
          <w:szCs w:val="28"/>
        </w:rPr>
      </w:pPr>
    </w:p>
    <w:p w14:paraId="00000070" w14:textId="77777777" w:rsidR="006A0C3B" w:rsidRDefault="008D4990">
      <w:pPr>
        <w:pBdr>
          <w:top w:val="nil"/>
          <w:left w:val="nil"/>
          <w:bottom w:val="nil"/>
          <w:right w:val="nil"/>
          <w:between w:val="nil"/>
        </w:pBdr>
        <w:spacing w:line="240" w:lineRule="auto"/>
        <w:rPr>
          <w:rFonts w:ascii="Gentium Basic" w:eastAsia="Gentium Basic" w:hAnsi="Gentium Basic" w:cs="Gentium Basic"/>
          <w:color w:val="000000"/>
          <w:sz w:val="28"/>
          <w:szCs w:val="28"/>
        </w:rPr>
      </w:pPr>
      <w:r>
        <w:rPr>
          <w:rFonts w:ascii="Gentium Basic" w:eastAsia="Gentium Basic" w:hAnsi="Gentium Basic" w:cs="Gentium Basic"/>
          <w:color w:val="000000"/>
          <w:sz w:val="28"/>
          <w:szCs w:val="28"/>
        </w:rPr>
        <w:t xml:space="preserve">A 2015 </w:t>
      </w:r>
      <w:hyperlink r:id="rId27">
        <w:r>
          <w:rPr>
            <w:rFonts w:ascii="Gentium Basic" w:eastAsia="Gentium Basic" w:hAnsi="Gentium Basic" w:cs="Gentium Basic"/>
            <w:color w:val="167ABF"/>
            <w:sz w:val="28"/>
            <w:szCs w:val="28"/>
            <w:u w:val="single"/>
          </w:rPr>
          <w:t>study</w:t>
        </w:r>
      </w:hyperlink>
      <w:r>
        <w:rPr>
          <w:rFonts w:ascii="Gentium Basic" w:eastAsia="Gentium Basic" w:hAnsi="Gentium Basic" w:cs="Gentium Basic"/>
          <w:color w:val="000000"/>
          <w:sz w:val="28"/>
          <w:szCs w:val="28"/>
        </w:rPr>
        <w:t xml:space="preserve"> by researchers at Columbia University found that the measurabl</w:t>
      </w:r>
      <w:r>
        <w:rPr>
          <w:rFonts w:ascii="Gentium Basic" w:eastAsia="Gentium Basic" w:hAnsi="Gentium Basic" w:cs="Gentium Basic"/>
          <w:color w:val="000000"/>
          <w:sz w:val="28"/>
          <w:szCs w:val="28"/>
        </w:rPr>
        <w:t xml:space="preserve">e benefits of SEL exceed the costs, often by considerable amounts. The aggregate result of the analysis showed an average benefit-cost ratio of about 11 to 1 among the six evidence-based SEL interventions studied. This means that, on average, for every $1 </w:t>
      </w:r>
      <w:r>
        <w:rPr>
          <w:rFonts w:ascii="Gentium Basic" w:eastAsia="Gentium Basic" w:hAnsi="Gentium Basic" w:cs="Gentium Basic"/>
          <w:color w:val="000000"/>
          <w:sz w:val="28"/>
          <w:szCs w:val="28"/>
        </w:rPr>
        <w:t>invested in SEL programming, there is a return of $11.</w:t>
      </w:r>
    </w:p>
    <w:p w14:paraId="00000071" w14:textId="77777777" w:rsidR="006A0C3B" w:rsidRDefault="008D4990">
      <w:pPr>
        <w:spacing w:after="0" w:line="240" w:lineRule="auto"/>
        <w:rPr>
          <w:rFonts w:ascii="Gentium Basic" w:eastAsia="Gentium Basic" w:hAnsi="Gentium Basic" w:cs="Gentium Basic"/>
          <w:color w:val="636467"/>
          <w:sz w:val="16"/>
          <w:szCs w:val="16"/>
        </w:rPr>
      </w:pPr>
      <w:r>
        <w:rPr>
          <w:rFonts w:ascii="Gentium Basic" w:eastAsia="Gentium Basic" w:hAnsi="Gentium Basic" w:cs="Gentium Basic"/>
          <w:sz w:val="16"/>
          <w:szCs w:val="16"/>
        </w:rPr>
        <w:t>Capella, Blair, &amp; Aber, 2016; Jones &amp; Bouffard, 2012; Nagaoka, Farrington, Ehrlich &amp; Heath, 2015</w:t>
      </w:r>
    </w:p>
    <w:p w14:paraId="00000072" w14:textId="77777777" w:rsidR="006A0C3B" w:rsidRDefault="006A0C3B">
      <w:pPr>
        <w:pBdr>
          <w:top w:val="nil"/>
          <w:left w:val="nil"/>
          <w:bottom w:val="nil"/>
          <w:right w:val="nil"/>
          <w:between w:val="nil"/>
        </w:pBdr>
        <w:spacing w:line="240" w:lineRule="auto"/>
        <w:rPr>
          <w:rFonts w:ascii="Gentium Basic" w:eastAsia="Gentium Basic" w:hAnsi="Gentium Basic" w:cs="Gentium Basic"/>
          <w:sz w:val="28"/>
          <w:szCs w:val="28"/>
        </w:rPr>
      </w:pPr>
    </w:p>
    <w:p w14:paraId="00000073"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sz w:val="28"/>
          <w:szCs w:val="28"/>
        </w:rPr>
        <w:t>Evidence from national and international settings indicates that individuals with</w:t>
      </w:r>
    </w:p>
    <w:p w14:paraId="00000074"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sz w:val="28"/>
          <w:szCs w:val="28"/>
        </w:rPr>
        <w:t xml:space="preserve">higher social and emotional competencies tend to have higher labor market earnings. </w:t>
      </w:r>
    </w:p>
    <w:p w14:paraId="00000075"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sz w:val="28"/>
          <w:szCs w:val="28"/>
        </w:rPr>
        <w:t xml:space="preserve">Research and theory also suggest that these skills are likely to lead to gains in labor productivity, which include increased long-term employment and taxable earnings. </w:t>
      </w:r>
    </w:p>
    <w:p w14:paraId="00000076" w14:textId="77777777" w:rsidR="006A0C3B" w:rsidRDefault="008D4990">
      <w:pPr>
        <w:spacing w:after="0" w:line="240" w:lineRule="auto"/>
        <w:rPr>
          <w:rFonts w:ascii="Gentium Basic" w:eastAsia="Gentium Basic" w:hAnsi="Gentium Basic" w:cs="Gentium Basic"/>
        </w:rPr>
      </w:pPr>
      <w:r>
        <w:rPr>
          <w:rFonts w:ascii="Gentium Basic" w:eastAsia="Gentium Basic" w:hAnsi="Gentium Basic" w:cs="Gentium Basic"/>
        </w:rPr>
        <w:t>J</w:t>
      </w:r>
      <w:r>
        <w:rPr>
          <w:rFonts w:ascii="Gentium Basic" w:eastAsia="Gentium Basic" w:hAnsi="Gentium Basic" w:cs="Gentium Basic"/>
        </w:rPr>
        <w:t>ones, Greenberg, Crowley, 2015</w:t>
      </w:r>
    </w:p>
    <w:p w14:paraId="00000077" w14:textId="77777777" w:rsidR="006A0C3B" w:rsidRDefault="006A0C3B">
      <w:pPr>
        <w:spacing w:after="0" w:line="240" w:lineRule="auto"/>
        <w:rPr>
          <w:rFonts w:ascii="Gentium Basic" w:eastAsia="Gentium Basic" w:hAnsi="Gentium Basic" w:cs="Gentium Basic"/>
        </w:rPr>
      </w:pPr>
    </w:p>
    <w:p w14:paraId="00000078" w14:textId="77777777" w:rsidR="006A0C3B" w:rsidRDefault="006A0C3B">
      <w:pPr>
        <w:spacing w:after="0" w:line="240" w:lineRule="auto"/>
        <w:rPr>
          <w:rFonts w:ascii="Gentium Basic" w:eastAsia="Gentium Basic" w:hAnsi="Gentium Basic" w:cs="Gentium Basic"/>
        </w:rPr>
      </w:pPr>
    </w:p>
    <w:p w14:paraId="00000079" w14:textId="77777777" w:rsidR="006A0C3B" w:rsidRDefault="008D4990">
      <w:pPr>
        <w:spacing w:after="0" w:line="240" w:lineRule="auto"/>
        <w:rPr>
          <w:rFonts w:ascii="Gentium Basic" w:eastAsia="Gentium Basic" w:hAnsi="Gentium Basic" w:cs="Gentium Basic"/>
          <w:color w:val="636467"/>
          <w:sz w:val="28"/>
          <w:szCs w:val="28"/>
        </w:rPr>
      </w:pPr>
      <w:r>
        <w:rPr>
          <w:rFonts w:ascii="Gentium Basic" w:eastAsia="Gentium Basic" w:hAnsi="Gentium Basic" w:cs="Gentium Basic"/>
          <w:sz w:val="28"/>
          <w:szCs w:val="28"/>
        </w:rPr>
        <w:t>Similarly, reductions in violence, drug use, delinquent behavior, and mental health problems—as a result of stronger social and emotional skills and competencies—are likely to lead to decreased need for government services, and ultimately, less expenditure</w:t>
      </w:r>
      <w:r>
        <w:rPr>
          <w:rFonts w:ascii="Gentium Basic" w:eastAsia="Gentium Basic" w:hAnsi="Gentium Basic" w:cs="Gentium Basic"/>
          <w:sz w:val="28"/>
          <w:szCs w:val="28"/>
        </w:rPr>
        <w:t xml:space="preserve"> of public money</w:t>
      </w:r>
      <w:r>
        <w:rPr>
          <w:rFonts w:ascii="Gentium Basic" w:eastAsia="Gentium Basic" w:hAnsi="Gentium Basic" w:cs="Gentium Basic"/>
          <w:color w:val="636467"/>
          <w:sz w:val="28"/>
          <w:szCs w:val="28"/>
        </w:rPr>
        <w:t xml:space="preserve">. </w:t>
      </w:r>
    </w:p>
    <w:p w14:paraId="0000007A" w14:textId="77777777" w:rsidR="006A0C3B" w:rsidRDefault="006A0C3B">
      <w:pPr>
        <w:spacing w:after="0" w:line="240" w:lineRule="auto"/>
        <w:rPr>
          <w:rFonts w:ascii="Gentium Basic" w:eastAsia="Gentium Basic" w:hAnsi="Gentium Basic" w:cs="Gentium Basic"/>
          <w:color w:val="636467"/>
          <w:sz w:val="28"/>
          <w:szCs w:val="28"/>
        </w:rPr>
      </w:pPr>
    </w:p>
    <w:p w14:paraId="0000007B" w14:textId="77777777" w:rsidR="006A0C3B" w:rsidRDefault="008D4990">
      <w:pPr>
        <w:spacing w:after="0" w:line="240" w:lineRule="auto"/>
        <w:rPr>
          <w:rFonts w:ascii="Gentium Basic" w:eastAsia="Gentium Basic" w:hAnsi="Gentium Basic" w:cs="Gentium Basic"/>
          <w:color w:val="636467"/>
          <w:sz w:val="16"/>
          <w:szCs w:val="16"/>
        </w:rPr>
      </w:pPr>
      <w:r>
        <w:rPr>
          <w:rFonts w:ascii="Gentium Basic" w:eastAsia="Gentium Basic" w:hAnsi="Gentium Basic" w:cs="Gentium Basic"/>
          <w:color w:val="636467"/>
          <w:sz w:val="20"/>
          <w:szCs w:val="20"/>
        </w:rPr>
        <w:t xml:space="preserve"> </w:t>
      </w:r>
      <w:r>
        <w:rPr>
          <w:rFonts w:ascii="Gentium Basic" w:eastAsia="Gentium Basic" w:hAnsi="Gentium Basic" w:cs="Gentium Basic"/>
          <w:color w:val="636467"/>
          <w:sz w:val="16"/>
          <w:szCs w:val="16"/>
        </w:rPr>
        <w:t>Jones, Greenberg, Crowley, 2015</w:t>
      </w:r>
    </w:p>
    <w:p w14:paraId="0000007C" w14:textId="77777777" w:rsidR="006A0C3B" w:rsidRDefault="008D4990">
      <w:pPr>
        <w:spacing w:after="0" w:line="240" w:lineRule="auto"/>
        <w:rPr>
          <w:rFonts w:ascii="Gentium Basic" w:eastAsia="Gentium Basic" w:hAnsi="Gentium Basic" w:cs="Gentium Basic"/>
          <w:color w:val="636467"/>
          <w:sz w:val="20"/>
          <w:szCs w:val="20"/>
        </w:rPr>
      </w:pPr>
      <w:r>
        <w:br w:type="page"/>
      </w:r>
    </w:p>
    <w:p w14:paraId="0000007D" w14:textId="77777777" w:rsidR="006A0C3B" w:rsidRDefault="006A0C3B">
      <w:pPr>
        <w:spacing w:after="0" w:line="240" w:lineRule="auto"/>
        <w:rPr>
          <w:rFonts w:ascii="Gentium Basic" w:eastAsia="Gentium Basic" w:hAnsi="Gentium Basic" w:cs="Gentium Basic"/>
          <w:color w:val="636467"/>
          <w:sz w:val="20"/>
          <w:szCs w:val="20"/>
        </w:rPr>
      </w:pPr>
    </w:p>
    <w:p w14:paraId="0000007E" w14:textId="77777777" w:rsidR="006A0C3B" w:rsidRDefault="008D4990">
      <w:pPr>
        <w:rPr>
          <w:rFonts w:ascii="Gentium Basic" w:eastAsia="Gentium Basic" w:hAnsi="Gentium Basic" w:cs="Gentium Basic"/>
          <w:sz w:val="24"/>
          <w:szCs w:val="24"/>
          <w:u w:val="single"/>
        </w:rPr>
      </w:pPr>
      <w:r>
        <w:rPr>
          <w:rFonts w:ascii="Gentium Basic" w:eastAsia="Gentium Basic" w:hAnsi="Gentium Basic" w:cs="Gentium Basic"/>
          <w:sz w:val="24"/>
          <w:szCs w:val="24"/>
          <w:u w:val="single"/>
        </w:rPr>
        <w:t>Theme: Academic Outcomes</w:t>
      </w:r>
    </w:p>
    <w:p w14:paraId="0000007F" w14:textId="77777777" w:rsidR="006A0C3B" w:rsidRDefault="008D4990">
      <w:pPr>
        <w:rPr>
          <w:rFonts w:ascii="Gentium Basic" w:eastAsia="Gentium Basic" w:hAnsi="Gentium Basic" w:cs="Gentium Basic"/>
          <w:sz w:val="24"/>
          <w:szCs w:val="24"/>
        </w:rPr>
      </w:pPr>
      <w:r>
        <w:rPr>
          <w:rFonts w:ascii="Gentium Basic" w:eastAsia="Gentium Basic" w:hAnsi="Gentium Basic" w:cs="Gentium Basic"/>
          <w:sz w:val="24"/>
          <w:szCs w:val="24"/>
        </w:rPr>
        <w:t>Envelope 5</w:t>
      </w:r>
    </w:p>
    <w:p w14:paraId="00000080" w14:textId="77777777" w:rsidR="006A0C3B" w:rsidRDefault="008D4990">
      <w:pPr>
        <w:rPr>
          <w:rFonts w:ascii="Gentium Basic" w:eastAsia="Gentium Basic" w:hAnsi="Gentium Basic" w:cs="Gentium Basic"/>
          <w:sz w:val="28"/>
          <w:szCs w:val="28"/>
        </w:rPr>
      </w:pPr>
      <w:r>
        <w:rPr>
          <w:rFonts w:ascii="Gentium Basic" w:eastAsia="Gentium Basic" w:hAnsi="Gentium Basic" w:cs="Gentium Basic"/>
          <w:sz w:val="28"/>
          <w:szCs w:val="28"/>
        </w:rPr>
        <w:t xml:space="preserve">According to a 2011 </w:t>
      </w:r>
      <w:hyperlink r:id="rId28">
        <w:r>
          <w:rPr>
            <w:rFonts w:ascii="Gentium Basic" w:eastAsia="Gentium Basic" w:hAnsi="Gentium Basic" w:cs="Gentium Basic"/>
            <w:sz w:val="28"/>
            <w:szCs w:val="28"/>
          </w:rPr>
          <w:t>meta-analysis</w:t>
        </w:r>
      </w:hyperlink>
      <w:r>
        <w:rPr>
          <w:rFonts w:ascii="Gentium Basic" w:eastAsia="Gentium Basic" w:hAnsi="Gentium Basic" w:cs="Gentium Basic"/>
          <w:sz w:val="28"/>
          <w:szCs w:val="28"/>
        </w:rPr>
        <w:t xml:space="preserve"> of 213 studies involving more than 270,000 students, those who participated in evidence-based SEL programs showed an 11 percentile-point gain in academic achievement compared to students who did not participate in SEL programs.</w:t>
      </w:r>
    </w:p>
    <w:p w14:paraId="00000081" w14:textId="77777777" w:rsidR="006A0C3B" w:rsidRDefault="006A0C3B">
      <w:pPr>
        <w:spacing w:after="0" w:line="240" w:lineRule="auto"/>
        <w:rPr>
          <w:rFonts w:ascii="Gentium Basic" w:eastAsia="Gentium Basic" w:hAnsi="Gentium Basic" w:cs="Gentium Basic"/>
          <w:sz w:val="28"/>
          <w:szCs w:val="28"/>
        </w:rPr>
      </w:pPr>
    </w:p>
    <w:p w14:paraId="00000082" w14:textId="77777777" w:rsidR="006A0C3B" w:rsidRDefault="008D4990">
      <w:pPr>
        <w:spacing w:after="0" w:line="240" w:lineRule="auto"/>
        <w:rPr>
          <w:rFonts w:ascii="Gentium Basic" w:eastAsia="Gentium Basic" w:hAnsi="Gentium Basic" w:cs="Gentium Basic"/>
          <w:color w:val="636467"/>
          <w:sz w:val="28"/>
          <w:szCs w:val="28"/>
        </w:rPr>
      </w:pPr>
      <w:r>
        <w:rPr>
          <w:rFonts w:ascii="Gentium Basic" w:eastAsia="Gentium Basic" w:hAnsi="Gentium Basic" w:cs="Gentium Basic"/>
          <w:sz w:val="28"/>
          <w:szCs w:val="28"/>
        </w:rPr>
        <w:t>To date we’ve learned that</w:t>
      </w:r>
      <w:r>
        <w:rPr>
          <w:rFonts w:ascii="Gentium Basic" w:eastAsia="Gentium Basic" w:hAnsi="Gentium Basic" w:cs="Gentium Basic"/>
          <w:sz w:val="28"/>
          <w:szCs w:val="28"/>
        </w:rPr>
        <w:t>, in addition to broad improvements in social, behavioral, and mental health outcomes, programming in social and emotional learning across the school years drives increases in executive functioning, self-efficacy, persistence, prosocial behavior, grades, a</w:t>
      </w:r>
      <w:r>
        <w:rPr>
          <w:rFonts w:ascii="Gentium Basic" w:eastAsia="Gentium Basic" w:hAnsi="Gentium Basic" w:cs="Gentium Basic"/>
          <w:sz w:val="28"/>
          <w:szCs w:val="28"/>
        </w:rPr>
        <w:t>nd scores on standardized tests.</w:t>
      </w:r>
      <w:r>
        <w:rPr>
          <w:rFonts w:ascii="Gentium Basic" w:eastAsia="Gentium Basic" w:hAnsi="Gentium Basic" w:cs="Gentium Basic"/>
          <w:color w:val="636467"/>
          <w:sz w:val="28"/>
          <w:szCs w:val="28"/>
        </w:rPr>
        <w:t xml:space="preserve"> </w:t>
      </w:r>
    </w:p>
    <w:p w14:paraId="00000083" w14:textId="77777777" w:rsidR="006A0C3B" w:rsidRDefault="006A0C3B">
      <w:pPr>
        <w:spacing w:after="0" w:line="240" w:lineRule="auto"/>
        <w:rPr>
          <w:rFonts w:ascii="Gentium Basic" w:eastAsia="Gentium Basic" w:hAnsi="Gentium Basic" w:cs="Gentium Basic"/>
          <w:color w:val="636467"/>
          <w:sz w:val="20"/>
          <w:szCs w:val="20"/>
        </w:rPr>
      </w:pPr>
    </w:p>
    <w:p w14:paraId="00000084" w14:textId="77777777" w:rsidR="006A0C3B" w:rsidRDefault="008D4990">
      <w:pPr>
        <w:spacing w:after="0" w:line="240" w:lineRule="auto"/>
        <w:rPr>
          <w:rFonts w:ascii="Gentium Basic" w:eastAsia="Gentium Basic" w:hAnsi="Gentium Basic" w:cs="Gentium Basic"/>
          <w:sz w:val="20"/>
          <w:szCs w:val="20"/>
        </w:rPr>
      </w:pPr>
      <w:r>
        <w:rPr>
          <w:rFonts w:ascii="Gentium Basic" w:eastAsia="Gentium Basic" w:hAnsi="Gentium Basic" w:cs="Gentium Basic"/>
          <w:color w:val="636467"/>
          <w:sz w:val="20"/>
          <w:szCs w:val="20"/>
        </w:rPr>
        <w:t xml:space="preserve"> </w:t>
      </w:r>
      <w:r>
        <w:rPr>
          <w:rFonts w:ascii="Gentium Basic" w:eastAsia="Gentium Basic" w:hAnsi="Gentium Basic" w:cs="Gentium Basic"/>
          <w:sz w:val="20"/>
          <w:szCs w:val="20"/>
        </w:rPr>
        <w:t>Jones et al., 2011; Heckman &amp; Kautz, 2013</w:t>
      </w:r>
    </w:p>
    <w:p w14:paraId="00000085" w14:textId="77777777" w:rsidR="006A0C3B" w:rsidRDefault="006A0C3B">
      <w:pPr>
        <w:spacing w:after="0" w:line="240" w:lineRule="auto"/>
        <w:rPr>
          <w:rFonts w:ascii="Gentium Basic" w:eastAsia="Gentium Basic" w:hAnsi="Gentium Basic" w:cs="Gentium Basic"/>
          <w:color w:val="636467"/>
          <w:sz w:val="20"/>
          <w:szCs w:val="20"/>
        </w:rPr>
      </w:pPr>
    </w:p>
    <w:p w14:paraId="00000086"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sz w:val="28"/>
          <w:szCs w:val="28"/>
        </w:rPr>
        <w:t>In their seminal review of more than 200 school-based, universal social and emotional learning programs spanning grades K-12, Durlak and colleagues (2011) demonstrated that stud</w:t>
      </w:r>
      <w:r>
        <w:rPr>
          <w:rFonts w:ascii="Gentium Basic" w:eastAsia="Gentium Basic" w:hAnsi="Gentium Basic" w:cs="Gentium Basic"/>
          <w:sz w:val="28"/>
          <w:szCs w:val="28"/>
        </w:rPr>
        <w:t>ents who participated in evidence-based social and emotional learning (SEL) programs showed significant improvements in social and emotional learning skills, behavior, attitudes, and academic performance, as well as reduced emotional distress and conduct p</w:t>
      </w:r>
      <w:r>
        <w:rPr>
          <w:rFonts w:ascii="Gentium Basic" w:eastAsia="Gentium Basic" w:hAnsi="Gentium Basic" w:cs="Gentium Basic"/>
          <w:sz w:val="28"/>
          <w:szCs w:val="28"/>
        </w:rPr>
        <w:t xml:space="preserve">roblems. </w:t>
      </w:r>
    </w:p>
    <w:p w14:paraId="00000087" w14:textId="77777777" w:rsidR="006A0C3B" w:rsidRDefault="006A0C3B">
      <w:pPr>
        <w:spacing w:after="0" w:line="240" w:lineRule="auto"/>
        <w:rPr>
          <w:rFonts w:ascii="Gentium Basic" w:eastAsia="Gentium Basic" w:hAnsi="Gentium Basic" w:cs="Gentium Basic"/>
          <w:sz w:val="28"/>
          <w:szCs w:val="28"/>
        </w:rPr>
      </w:pPr>
    </w:p>
    <w:p w14:paraId="00000088" w14:textId="77777777" w:rsidR="006A0C3B" w:rsidRDefault="008D4990">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Durlak et al., 2011</w:t>
      </w:r>
    </w:p>
    <w:p w14:paraId="00000089" w14:textId="77777777" w:rsidR="006A0C3B" w:rsidRDefault="006A0C3B">
      <w:pPr>
        <w:spacing w:after="0" w:line="240" w:lineRule="auto"/>
        <w:rPr>
          <w:rFonts w:ascii="Gentium Basic" w:eastAsia="Gentium Basic" w:hAnsi="Gentium Basic" w:cs="Gentium Basic"/>
          <w:color w:val="636467"/>
          <w:sz w:val="20"/>
          <w:szCs w:val="20"/>
        </w:rPr>
      </w:pPr>
    </w:p>
    <w:p w14:paraId="0000008A" w14:textId="77777777" w:rsidR="006A0C3B" w:rsidRDefault="008D4990">
      <w:pPr>
        <w:spacing w:after="0" w:line="240" w:lineRule="auto"/>
        <w:rPr>
          <w:rFonts w:ascii="Gentium Basic" w:eastAsia="Gentium Basic" w:hAnsi="Gentium Basic" w:cs="Gentium Basic"/>
          <w:color w:val="636467"/>
          <w:sz w:val="28"/>
          <w:szCs w:val="28"/>
        </w:rPr>
      </w:pPr>
      <w:r>
        <w:rPr>
          <w:rFonts w:ascii="Gentium Basic" w:eastAsia="Gentium Basic" w:hAnsi="Gentium Basic" w:cs="Gentium Basic"/>
          <w:sz w:val="28"/>
          <w:szCs w:val="28"/>
        </w:rPr>
        <w:t>Curriculum and instructional practices that deliberately integrate or interweave academic content with social and emotional themes and/or skills are likely to be the most sustainable and effective. There are a growing number</w:t>
      </w:r>
      <w:r>
        <w:rPr>
          <w:rFonts w:ascii="Gentium Basic" w:eastAsia="Gentium Basic" w:hAnsi="Gentium Basic" w:cs="Gentium Basic"/>
          <w:sz w:val="28"/>
          <w:szCs w:val="28"/>
        </w:rPr>
        <w:t xml:space="preserve"> of examples of such practices in the field.</w:t>
      </w:r>
      <w:r>
        <w:rPr>
          <w:rFonts w:ascii="Gentium Basic" w:eastAsia="Gentium Basic" w:hAnsi="Gentium Basic" w:cs="Gentium Basic"/>
          <w:color w:val="636467"/>
          <w:sz w:val="28"/>
          <w:szCs w:val="28"/>
        </w:rPr>
        <w:t xml:space="preserve"> </w:t>
      </w:r>
    </w:p>
    <w:p w14:paraId="0000008B" w14:textId="77777777" w:rsidR="006A0C3B" w:rsidRDefault="006A0C3B">
      <w:pPr>
        <w:spacing w:after="0" w:line="240" w:lineRule="auto"/>
        <w:rPr>
          <w:rFonts w:ascii="Gentium Basic" w:eastAsia="Gentium Basic" w:hAnsi="Gentium Basic" w:cs="Gentium Basic"/>
          <w:color w:val="636467"/>
          <w:sz w:val="20"/>
          <w:szCs w:val="20"/>
        </w:rPr>
      </w:pPr>
    </w:p>
    <w:p w14:paraId="0000008C" w14:textId="77777777" w:rsidR="006A0C3B" w:rsidRDefault="008D4990">
      <w:pPr>
        <w:spacing w:after="0" w:line="240" w:lineRule="auto"/>
        <w:rPr>
          <w:rFonts w:ascii="Gentium Basic" w:eastAsia="Gentium Basic" w:hAnsi="Gentium Basic" w:cs="Gentium Basic"/>
          <w:color w:val="636467"/>
          <w:sz w:val="20"/>
          <w:szCs w:val="20"/>
        </w:rPr>
      </w:pPr>
      <w:r>
        <w:rPr>
          <w:rFonts w:ascii="Gentium Basic" w:eastAsia="Gentium Basic" w:hAnsi="Gentium Basic" w:cs="Gentium Basic"/>
          <w:color w:val="636467"/>
          <w:sz w:val="20"/>
          <w:szCs w:val="20"/>
        </w:rPr>
        <w:t>Jones &amp; Bouffard, 2012; The Aspen Institute Commission on</w:t>
      </w:r>
      <w:r>
        <w:rPr>
          <w:rFonts w:ascii="Gentium Basic" w:eastAsia="Gentium Basic" w:hAnsi="Gentium Basic" w:cs="Gentium Basic"/>
          <w:sz w:val="20"/>
          <w:szCs w:val="20"/>
        </w:rPr>
        <w:t xml:space="preserve"> </w:t>
      </w:r>
      <w:r>
        <w:rPr>
          <w:rFonts w:ascii="Gentium Basic" w:eastAsia="Gentium Basic" w:hAnsi="Gentium Basic" w:cs="Gentium Basic"/>
          <w:color w:val="636467"/>
          <w:sz w:val="20"/>
          <w:szCs w:val="20"/>
        </w:rPr>
        <w:t>Social, Emotional, and Academic Development, 2017</w:t>
      </w:r>
    </w:p>
    <w:p w14:paraId="0000008D" w14:textId="77777777" w:rsidR="006A0C3B" w:rsidRDefault="006A0C3B">
      <w:pPr>
        <w:spacing w:after="0" w:line="240" w:lineRule="auto"/>
        <w:rPr>
          <w:rFonts w:ascii="Gentium Basic" w:eastAsia="Gentium Basic" w:hAnsi="Gentium Basic" w:cs="Gentium Basic"/>
          <w:color w:val="636467"/>
          <w:sz w:val="20"/>
          <w:szCs w:val="20"/>
        </w:rPr>
      </w:pPr>
    </w:p>
    <w:p w14:paraId="0000008E" w14:textId="77777777" w:rsidR="006A0C3B" w:rsidRDefault="008D4990">
      <w:pPr>
        <w:spacing w:after="0" w:line="240" w:lineRule="auto"/>
        <w:rPr>
          <w:rFonts w:ascii="Gentium Basic" w:eastAsia="Gentium Basic" w:hAnsi="Gentium Basic" w:cs="Gentium Basic"/>
          <w:sz w:val="28"/>
          <w:szCs w:val="28"/>
        </w:rPr>
      </w:pPr>
      <w:r>
        <w:rPr>
          <w:rFonts w:ascii="Gentium Basic" w:eastAsia="Gentium Basic" w:hAnsi="Gentium Basic" w:cs="Gentium Basic"/>
          <w:sz w:val="28"/>
          <w:szCs w:val="28"/>
        </w:rPr>
        <w:t>The results from this review (meta-analytic review included 317 studies involving 324,303 school children age 5-13 years) indicate that in addition to improving students’ social and emotional skills, these SEL programs also significantly improved children’</w:t>
      </w:r>
      <w:r>
        <w:rPr>
          <w:rFonts w:ascii="Gentium Basic" w:eastAsia="Gentium Basic" w:hAnsi="Gentium Basic" w:cs="Gentium Basic"/>
          <w:sz w:val="28"/>
          <w:szCs w:val="28"/>
        </w:rPr>
        <w:t>s academic performance. Notably, SEL programming yielded an average gain on achievement test scores of 11 to 17 percentile points. These results suggest that SEL programs have the potential to elevate a child performing at the 50th percentile in terms of t</w:t>
      </w:r>
      <w:r>
        <w:rPr>
          <w:rFonts w:ascii="Gentium Basic" w:eastAsia="Gentium Basic" w:hAnsi="Gentium Basic" w:cs="Gentium Basic"/>
          <w:sz w:val="28"/>
          <w:szCs w:val="28"/>
        </w:rPr>
        <w:t xml:space="preserve">heir school achievement (i.e. doing better academically than 49 percent of their peers) to the 61st percentile (i.e. doing better academically than 60 percent of their peers) – an 11 percentile rise. </w:t>
      </w:r>
    </w:p>
    <w:p w14:paraId="0000008F" w14:textId="77777777" w:rsidR="006A0C3B" w:rsidRDefault="006A0C3B">
      <w:pPr>
        <w:spacing w:after="0" w:line="240" w:lineRule="auto"/>
        <w:rPr>
          <w:rFonts w:ascii="Gentium Basic" w:eastAsia="Gentium Basic" w:hAnsi="Gentium Basic" w:cs="Gentium Basic"/>
          <w:sz w:val="20"/>
          <w:szCs w:val="20"/>
        </w:rPr>
      </w:pPr>
    </w:p>
    <w:p w14:paraId="00000090" w14:textId="77777777" w:rsidR="006A0C3B" w:rsidRDefault="008D4990">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Payton, 2008</w:t>
      </w:r>
    </w:p>
    <w:p w14:paraId="00000091" w14:textId="77777777" w:rsidR="006A0C3B" w:rsidRDefault="008D4990">
      <w:pPr>
        <w:rPr>
          <w:rFonts w:ascii="Gentium Basic" w:eastAsia="Gentium Basic" w:hAnsi="Gentium Basic" w:cs="Gentium Basic"/>
          <w:sz w:val="20"/>
          <w:szCs w:val="20"/>
        </w:rPr>
      </w:pPr>
      <w:r>
        <w:rPr>
          <w:rFonts w:ascii="Gentium Basic" w:eastAsia="Gentium Basic" w:hAnsi="Gentium Basic" w:cs="Gentium Basic"/>
          <w:sz w:val="20"/>
          <w:szCs w:val="20"/>
        </w:rPr>
        <w:tab/>
      </w:r>
      <w:r>
        <w:br w:type="page"/>
      </w:r>
    </w:p>
    <w:p w14:paraId="00000092" w14:textId="77777777" w:rsidR="006A0C3B" w:rsidRDefault="006A0C3B">
      <w:pPr>
        <w:rPr>
          <w:rFonts w:ascii="Gentium Basic" w:eastAsia="Gentium Basic" w:hAnsi="Gentium Basic" w:cs="Gentium Basic"/>
          <w:sz w:val="20"/>
          <w:szCs w:val="20"/>
        </w:rPr>
      </w:pPr>
    </w:p>
    <w:p w14:paraId="00000093" w14:textId="77777777" w:rsidR="006A0C3B" w:rsidRDefault="008D4990">
      <w:pPr>
        <w:rPr>
          <w:rFonts w:ascii="Gentium Basic" w:eastAsia="Gentium Basic" w:hAnsi="Gentium Basic" w:cs="Gentium Basic"/>
          <w:sz w:val="24"/>
          <w:szCs w:val="24"/>
          <w:u w:val="single"/>
        </w:rPr>
      </w:pPr>
      <w:r>
        <w:rPr>
          <w:rFonts w:ascii="Gentium Basic" w:eastAsia="Gentium Basic" w:hAnsi="Gentium Basic" w:cs="Gentium Basic"/>
          <w:sz w:val="24"/>
          <w:szCs w:val="24"/>
          <w:u w:val="single"/>
        </w:rPr>
        <w:t>Theme: Personal Wellness and Happiness</w:t>
      </w:r>
    </w:p>
    <w:p w14:paraId="00000094" w14:textId="77777777" w:rsidR="006A0C3B" w:rsidRDefault="008D4990">
      <w:pPr>
        <w:rPr>
          <w:rFonts w:ascii="Gentium Basic" w:eastAsia="Gentium Basic" w:hAnsi="Gentium Basic" w:cs="Gentium Basic"/>
          <w:sz w:val="24"/>
          <w:szCs w:val="24"/>
        </w:rPr>
      </w:pPr>
      <w:r>
        <w:rPr>
          <w:rFonts w:ascii="Gentium Basic" w:eastAsia="Gentium Basic" w:hAnsi="Gentium Basic" w:cs="Gentium Basic"/>
          <w:sz w:val="24"/>
          <w:szCs w:val="24"/>
        </w:rPr>
        <w:t>Envelope 6</w:t>
      </w:r>
    </w:p>
    <w:p w14:paraId="00000095" w14:textId="77777777" w:rsidR="006A0C3B" w:rsidRDefault="008D4990">
      <w:pPr>
        <w:rPr>
          <w:rFonts w:ascii="Gentium Basic" w:eastAsia="Gentium Basic" w:hAnsi="Gentium Basic" w:cs="Gentium Basic"/>
          <w:sz w:val="28"/>
          <w:szCs w:val="28"/>
        </w:rPr>
      </w:pPr>
      <w:r>
        <w:rPr>
          <w:rFonts w:ascii="Gentium Basic" w:eastAsia="Gentium Basic" w:hAnsi="Gentium Basic" w:cs="Gentium Basic"/>
          <w:sz w:val="28"/>
          <w:szCs w:val="28"/>
        </w:rPr>
        <w:t>Up to 18 years later, students exposed to SEL in school continue to do better than their peers on a number of indicators: positive social behaviors and attitudes, skills such as empathy and teamwork, and ac</w:t>
      </w:r>
      <w:r>
        <w:rPr>
          <w:rFonts w:ascii="Gentium Basic" w:eastAsia="Gentium Basic" w:hAnsi="Gentium Basic" w:cs="Gentium Basic"/>
          <w:sz w:val="28"/>
          <w:szCs w:val="28"/>
        </w:rPr>
        <w:t>ademics. And they have fewer conduct problems, less emotional distress, and lower drug use, among many other benefits. The analysis looked at 82 research studies involving about 100,000 students here and abroad.</w:t>
      </w:r>
    </w:p>
    <w:p w14:paraId="00000096" w14:textId="77777777" w:rsidR="006A0C3B" w:rsidRDefault="006A0C3B">
      <w:pPr>
        <w:rPr>
          <w:rFonts w:ascii="Gentium Basic" w:eastAsia="Gentium Basic" w:hAnsi="Gentium Basic" w:cs="Gentium Basic"/>
          <w:sz w:val="28"/>
          <w:szCs w:val="28"/>
        </w:rPr>
      </w:pPr>
    </w:p>
    <w:p w14:paraId="00000097" w14:textId="77777777" w:rsidR="006A0C3B" w:rsidRDefault="008D4990">
      <w:pPr>
        <w:rPr>
          <w:rFonts w:ascii="Gentium Basic" w:eastAsia="Gentium Basic" w:hAnsi="Gentium Basic" w:cs="Gentium Basic"/>
          <w:sz w:val="28"/>
          <w:szCs w:val="28"/>
        </w:rPr>
      </w:pPr>
      <w:r>
        <w:rPr>
          <w:rFonts w:ascii="Gentium Basic" w:eastAsia="Gentium Basic" w:hAnsi="Gentium Basic" w:cs="Gentium Basic"/>
          <w:sz w:val="28"/>
          <w:szCs w:val="28"/>
        </w:rPr>
        <w:t xml:space="preserve">A 2015 national </w:t>
      </w:r>
      <w:hyperlink r:id="rId29">
        <w:r>
          <w:rPr>
            <w:rFonts w:ascii="Gentium Basic" w:eastAsia="Gentium Basic" w:hAnsi="Gentium Basic" w:cs="Gentium Basic"/>
            <w:sz w:val="28"/>
            <w:szCs w:val="28"/>
          </w:rPr>
          <w:t>study</w:t>
        </w:r>
      </w:hyperlink>
      <w:r>
        <w:rPr>
          <w:rFonts w:ascii="Gentium Basic" w:eastAsia="Gentium Basic" w:hAnsi="Gentium Basic" w:cs="Gentium Basic"/>
          <w:sz w:val="28"/>
          <w:szCs w:val="28"/>
        </w:rPr>
        <w:t xml:space="preserve"> published in the </w:t>
      </w:r>
      <w:r>
        <w:rPr>
          <w:rFonts w:ascii="Gentium Basic" w:eastAsia="Gentium Basic" w:hAnsi="Gentium Basic" w:cs="Gentium Basic"/>
          <w:i/>
          <w:sz w:val="28"/>
          <w:szCs w:val="28"/>
        </w:rPr>
        <w:t>American Journal of Public Health</w:t>
      </w:r>
      <w:r>
        <w:rPr>
          <w:rFonts w:ascii="Gentium Basic" w:eastAsia="Gentium Basic" w:hAnsi="Gentium Basic" w:cs="Gentium Basic"/>
          <w:sz w:val="28"/>
          <w:szCs w:val="28"/>
        </w:rPr>
        <w:t xml:space="preserve"> found statistically significant associations between SEL skills in kindergarten and key outcomes for young adults years later in education, employment, criminal activity, substance use, and mental health.</w:t>
      </w:r>
    </w:p>
    <w:p w14:paraId="00000098" w14:textId="77777777" w:rsidR="006A0C3B" w:rsidRDefault="006A0C3B">
      <w:pPr>
        <w:rPr>
          <w:rFonts w:ascii="Gentium Basic" w:eastAsia="Gentium Basic" w:hAnsi="Gentium Basic" w:cs="Gentium Basic"/>
          <w:sz w:val="28"/>
          <w:szCs w:val="28"/>
        </w:rPr>
      </w:pPr>
    </w:p>
    <w:p w14:paraId="00000099" w14:textId="77777777" w:rsidR="006A0C3B" w:rsidRDefault="008D4990">
      <w:pPr>
        <w:spacing w:after="0" w:line="240" w:lineRule="auto"/>
        <w:rPr>
          <w:rFonts w:ascii="Gentium Basic" w:eastAsia="Gentium Basic" w:hAnsi="Gentium Basic" w:cs="Gentium Basic"/>
        </w:rPr>
      </w:pPr>
      <w:r>
        <w:rPr>
          <w:rFonts w:ascii="Gentium Basic" w:eastAsia="Gentium Basic" w:hAnsi="Gentium Basic" w:cs="Gentium Basic"/>
          <w:sz w:val="28"/>
          <w:szCs w:val="28"/>
        </w:rPr>
        <w:t xml:space="preserve">SEL can increase the capacity of all students to </w:t>
      </w:r>
      <w:r>
        <w:rPr>
          <w:rFonts w:ascii="Gentium Basic" w:eastAsia="Gentium Basic" w:hAnsi="Gentium Basic" w:cs="Gentium Basic"/>
          <w:sz w:val="28"/>
          <w:szCs w:val="28"/>
        </w:rPr>
        <w:t>become “knowledgeable, responsible, caring, productive, nonviolent and contributing members of society”</w:t>
      </w:r>
      <w:r>
        <w:rPr>
          <w:rFonts w:ascii="Gentium Basic" w:eastAsia="Gentium Basic" w:hAnsi="Gentium Basic" w:cs="Gentium Basic"/>
        </w:rPr>
        <w:t xml:space="preserve"> </w:t>
      </w:r>
    </w:p>
    <w:p w14:paraId="0000009A" w14:textId="77777777" w:rsidR="006A0C3B" w:rsidRDefault="006A0C3B">
      <w:pPr>
        <w:spacing w:after="0" w:line="240" w:lineRule="auto"/>
        <w:rPr>
          <w:rFonts w:ascii="Gentium Basic" w:eastAsia="Gentium Basic" w:hAnsi="Gentium Basic" w:cs="Gentium Basic"/>
          <w:sz w:val="20"/>
          <w:szCs w:val="20"/>
        </w:rPr>
      </w:pPr>
    </w:p>
    <w:p w14:paraId="0000009B" w14:textId="77777777" w:rsidR="006A0C3B" w:rsidRDefault="008D4990">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(Zins et al., 2001).</w:t>
      </w:r>
    </w:p>
    <w:p w14:paraId="0000009C" w14:textId="77777777" w:rsidR="006A0C3B" w:rsidRDefault="006A0C3B">
      <w:pPr>
        <w:rPr>
          <w:rFonts w:ascii="Gentium Basic" w:eastAsia="Gentium Basic" w:hAnsi="Gentium Basic" w:cs="Gentium Basic"/>
          <w:color w:val="000000"/>
          <w:sz w:val="20"/>
          <w:szCs w:val="20"/>
        </w:rPr>
      </w:pPr>
    </w:p>
    <w:p w14:paraId="0000009D" w14:textId="77777777" w:rsidR="006A0C3B" w:rsidRDefault="008D4990">
      <w:pPr>
        <w:rPr>
          <w:rFonts w:ascii="Gentium Basic" w:eastAsia="Gentium Basic" w:hAnsi="Gentium Basic" w:cs="Gentium Basic"/>
          <w:color w:val="000000"/>
          <w:sz w:val="28"/>
          <w:szCs w:val="28"/>
        </w:rPr>
      </w:pPr>
      <w:r>
        <w:rPr>
          <w:rFonts w:ascii="Gentium Basic" w:eastAsia="Gentium Basic" w:hAnsi="Gentium Basic" w:cs="Gentium Basic"/>
          <w:color w:val="000000"/>
          <w:sz w:val="28"/>
          <w:szCs w:val="28"/>
        </w:rPr>
        <w:t>SEL competencies can help students become better communicators, cooperative members of a team, effective leaders and self-advoca</w:t>
      </w:r>
      <w:r>
        <w:rPr>
          <w:rFonts w:ascii="Gentium Basic" w:eastAsia="Gentium Basic" w:hAnsi="Gentium Basic" w:cs="Gentium Basic"/>
          <w:color w:val="000000"/>
          <w:sz w:val="28"/>
          <w:szCs w:val="28"/>
        </w:rPr>
        <w:t>tors, resilient individuals, and caring, concerned members of their communities.</w:t>
      </w:r>
    </w:p>
    <w:p w14:paraId="0000009E" w14:textId="77777777" w:rsidR="006A0C3B" w:rsidRDefault="008D4990">
      <w:pPr>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Johnson, Johnson, &amp; Stanne, 200; Schaps, Battistich, &amp; Solomon, 2004</w:t>
      </w:r>
    </w:p>
    <w:p w14:paraId="0000009F" w14:textId="77777777" w:rsidR="006A0C3B" w:rsidRDefault="006A0C3B">
      <w:pPr>
        <w:rPr>
          <w:rFonts w:ascii="Gentium Basic" w:eastAsia="Gentium Basic" w:hAnsi="Gentium Basic" w:cs="Gentium Basic"/>
          <w:color w:val="000000"/>
          <w:sz w:val="20"/>
          <w:szCs w:val="20"/>
        </w:rPr>
      </w:pPr>
    </w:p>
    <w:p w14:paraId="000000A0" w14:textId="77777777" w:rsidR="006A0C3B" w:rsidRDefault="008D4990">
      <w:pPr>
        <w:rPr>
          <w:rFonts w:ascii="Gentium Basic" w:eastAsia="Gentium Basic" w:hAnsi="Gentium Basic" w:cs="Gentium Basic"/>
          <w:color w:val="808080"/>
          <w:sz w:val="28"/>
          <w:szCs w:val="28"/>
        </w:rPr>
      </w:pPr>
      <w:r>
        <w:rPr>
          <w:rFonts w:ascii="Gentium Basic" w:eastAsia="Gentium Basic" w:hAnsi="Gentium Basic" w:cs="Gentium Basic"/>
          <w:sz w:val="28"/>
          <w:szCs w:val="28"/>
        </w:rPr>
        <w:t xml:space="preserve">Within the home setting, acquiring social emotional competencies equip children and youth with qualities </w:t>
      </w:r>
      <w:r>
        <w:rPr>
          <w:rFonts w:ascii="Gentium Basic" w:eastAsia="Gentium Basic" w:hAnsi="Gentium Basic" w:cs="Gentium Basic"/>
          <w:sz w:val="28"/>
          <w:szCs w:val="28"/>
        </w:rPr>
        <w:t>such as kindness, peacefulness, respect, and openness</w:t>
      </w:r>
      <w:r>
        <w:rPr>
          <w:rFonts w:ascii="Gentium Basic" w:eastAsia="Gentium Basic" w:hAnsi="Gentium Basic" w:cs="Gentium Basic"/>
          <w:color w:val="808080"/>
          <w:sz w:val="28"/>
          <w:szCs w:val="28"/>
        </w:rPr>
        <w:t>.</w:t>
      </w:r>
    </w:p>
    <w:p w14:paraId="000000A1" w14:textId="77777777" w:rsidR="006A0C3B" w:rsidRDefault="008D4990">
      <w:pPr>
        <w:rPr>
          <w:rFonts w:ascii="Gentium Basic" w:eastAsia="Gentium Basic" w:hAnsi="Gentium Basic" w:cs="Gentium Basic"/>
          <w:sz w:val="20"/>
          <w:szCs w:val="20"/>
        </w:rPr>
      </w:pPr>
      <w:r>
        <w:rPr>
          <w:rFonts w:ascii="Gentium Basic" w:eastAsia="Gentium Basic" w:hAnsi="Gentium Basic" w:cs="Gentium Basic"/>
          <w:color w:val="808080"/>
          <w:sz w:val="20"/>
          <w:szCs w:val="20"/>
        </w:rPr>
        <w:t xml:space="preserve"> </w:t>
      </w:r>
      <w:r>
        <w:rPr>
          <w:rFonts w:ascii="Gentium Basic" w:eastAsia="Gentium Basic" w:hAnsi="Gentium Basic" w:cs="Gentium Basic"/>
          <w:sz w:val="20"/>
          <w:szCs w:val="20"/>
        </w:rPr>
        <w:t>CASEL, 2015a; Fredericks, Weissberg, Resnik, Patrikakou, O’Brien, 2014</w:t>
      </w:r>
    </w:p>
    <w:p w14:paraId="000000A2" w14:textId="77777777" w:rsidR="006A0C3B" w:rsidRDefault="008D4990">
      <w:pPr>
        <w:rPr>
          <w:rFonts w:ascii="Gentium Basic" w:eastAsia="Gentium Basic" w:hAnsi="Gentium Basic" w:cs="Gentium Basic"/>
          <w:sz w:val="28"/>
          <w:szCs w:val="28"/>
        </w:rPr>
      </w:pPr>
      <w:r>
        <w:rPr>
          <w:rFonts w:ascii="Gentium Basic" w:eastAsia="Gentium Basic" w:hAnsi="Gentium Basic" w:cs="Gentium Basic"/>
          <w:sz w:val="28"/>
          <w:szCs w:val="28"/>
        </w:rPr>
        <w:t xml:space="preserve">Other studies linking evidence of children’s social skills to their mental health as adults have been noted from Australia and Denmark. In the Australian example, Katz et al (2011) found that children who were shy or withdrawn at age 5 were more likely to </w:t>
      </w:r>
      <w:r>
        <w:rPr>
          <w:rFonts w:ascii="Gentium Basic" w:eastAsia="Gentium Basic" w:hAnsi="Gentium Basic" w:cs="Gentium Basic"/>
          <w:sz w:val="28"/>
          <w:szCs w:val="28"/>
        </w:rPr>
        <w:t>show ‘social impairment’ at age 15, which was in turn a predictor of depression at age 20. These subjects were members of the Mater-University of Queensland Study of Pregnancy, followed from before birth to age 20.</w:t>
      </w:r>
    </w:p>
    <w:p w14:paraId="000000A3" w14:textId="77777777" w:rsidR="006A0C3B" w:rsidRDefault="008D4990">
      <w:pPr>
        <w:rPr>
          <w:rFonts w:ascii="Gentium Basic" w:eastAsia="Gentium Basic" w:hAnsi="Gentium Basic" w:cs="Gentium Basic"/>
          <w:sz w:val="20"/>
          <w:szCs w:val="20"/>
        </w:rPr>
      </w:pPr>
      <w:hyperlink r:id="rId30">
        <w:r>
          <w:rPr>
            <w:rFonts w:ascii="Gentium Basic" w:eastAsia="Gentium Basic" w:hAnsi="Gentium Basic" w:cs="Gentium Basic"/>
            <w:color w:val="000000"/>
            <w:sz w:val="20"/>
            <w:szCs w:val="20"/>
            <w:u w:val="single"/>
          </w:rPr>
          <w:t>http://www.eif.org.uk/wp-content/uploads/2015/03/EIF-Strand-1-Report-FINAL1.pdf</w:t>
        </w:r>
      </w:hyperlink>
    </w:p>
    <w:sectPr w:rsidR="006A0C3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roid Serif">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Gentium Bas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A49CB"/>
    <w:multiLevelType w:val="multilevel"/>
    <w:tmpl w:val="65F02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8213A1"/>
    <w:multiLevelType w:val="multilevel"/>
    <w:tmpl w:val="964C6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3B"/>
    <w:rsid w:val="006A0C3B"/>
    <w:rsid w:val="008D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4BA88-D002-4ACD-B27C-368A5578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61" w:after="161"/>
      <w:outlineLvl w:val="0"/>
    </w:pPr>
    <w:rPr>
      <w:rFonts w:ascii="Droid Serif" w:eastAsia="Droid Serif" w:hAnsi="Droid Serif" w:cs="Droid Serif"/>
      <w:b/>
      <w:color w:val="333333"/>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sel.org/wp-content/uploads/2016/09/Sept.-14-2016-Congressional-Briefing-on-SEL-and-Employability-Skills.pdf" TargetMode="External"/><Relationship Id="rId13" Type="http://schemas.openxmlformats.org/officeDocument/2006/relationships/hyperlink" Target="https://www.tandfonline.com/author/McRee%2C+Annie-Laurie" TargetMode="External"/><Relationship Id="rId18" Type="http://schemas.openxmlformats.org/officeDocument/2006/relationships/hyperlink" Target="https://www.tandfonline.com/author/Shlafer%2C+Rebecca+J" TargetMode="External"/><Relationship Id="rId26" Type="http://schemas.openxmlformats.org/officeDocument/2006/relationships/hyperlink" Target="http://www.brookings.edu/~/media/research/files/reports/2015/12/aei-brookings-poverty-report/full-report.pdf" TargetMode="External"/><Relationship Id="rId3" Type="http://schemas.openxmlformats.org/officeDocument/2006/relationships/settings" Target="settings.xml"/><Relationship Id="rId21" Type="http://schemas.openxmlformats.org/officeDocument/2006/relationships/hyperlink" Target="https://www.tandfonline.com/author/Pettingell%2C+Sandra" TargetMode="External"/><Relationship Id="rId7" Type="http://schemas.openxmlformats.org/officeDocument/2006/relationships/hyperlink" Target="http://www.casel.org/wp-content/uploads/2016/09/Sept.-14-2016-Congressional-Briefing-on-SEL-and-Employability-Skills.pdf" TargetMode="External"/><Relationship Id="rId12" Type="http://schemas.openxmlformats.org/officeDocument/2006/relationships/hyperlink" Target="https://www.tandfonline.com/author/Lando-King%2C+Elizabeth" TargetMode="External"/><Relationship Id="rId17" Type="http://schemas.openxmlformats.org/officeDocument/2006/relationships/hyperlink" Target="https://www.tandfonline.com/author/Shlafer%2C+Rebecca+J" TargetMode="External"/><Relationship Id="rId25" Type="http://schemas.openxmlformats.org/officeDocument/2006/relationships/hyperlink" Target="https://experts.umn.edu/en/persons/barbara-j-mcmorris" TargetMode="External"/><Relationship Id="rId2" Type="http://schemas.openxmlformats.org/officeDocument/2006/relationships/styles" Target="styles.xml"/><Relationship Id="rId16" Type="http://schemas.openxmlformats.org/officeDocument/2006/relationships/hyperlink" Target="https://www.tandfonline.com/author/Gower%2C+Amy+L" TargetMode="External"/><Relationship Id="rId20" Type="http://schemas.openxmlformats.org/officeDocument/2006/relationships/hyperlink" Target="https://www.tandfonline.com/author/McMorris%2C+Barbara+J" TargetMode="External"/><Relationship Id="rId29" Type="http://schemas.openxmlformats.org/officeDocument/2006/relationships/hyperlink" Target="http://ajph.aphapublications.org/doi/abs/10.2105/AJPH.2015.302630" TargetMode="External"/><Relationship Id="rId1" Type="http://schemas.openxmlformats.org/officeDocument/2006/relationships/numbering" Target="numbering.xml"/><Relationship Id="rId6" Type="http://schemas.openxmlformats.org/officeDocument/2006/relationships/hyperlink" Target="https://ccrscenter.org/sites/default/files/Improving%20College%20and%20Career%20Readiness%20by%20Incorporating%20Social%20and%20Emotional%20Learning_0.pdf" TargetMode="External"/><Relationship Id="rId11" Type="http://schemas.openxmlformats.org/officeDocument/2006/relationships/hyperlink" Target="https://www.tandfonline.com/author/Lando-King%2C+Elizabeth" TargetMode="External"/><Relationship Id="rId24" Type="http://schemas.openxmlformats.org/officeDocument/2006/relationships/hyperlink" Target="https://experts.umn.edu/en/persons/renee-e-sieving" TargetMode="External"/><Relationship Id="rId32" Type="http://schemas.openxmlformats.org/officeDocument/2006/relationships/theme" Target="theme/theme1.xml"/><Relationship Id="rId5" Type="http://schemas.openxmlformats.org/officeDocument/2006/relationships/hyperlink" Target="http://www.kappancommoncore.org/social-emotionalskills-can-boost-common-core-implementation/.https://assets.aspeninstitute.org/content/uploads/2017/05/ThisTimeWithFeeling.pdf" TargetMode="External"/><Relationship Id="rId15" Type="http://schemas.openxmlformats.org/officeDocument/2006/relationships/hyperlink" Target="https://www.tandfonline.com/author/Gower%2C+Amy+L" TargetMode="External"/><Relationship Id="rId23" Type="http://schemas.openxmlformats.org/officeDocument/2006/relationships/hyperlink" Target="https://www.tandfonline.com/author/Sieving%2C+Renee+E" TargetMode="External"/><Relationship Id="rId28" Type="http://schemas.openxmlformats.org/officeDocument/2006/relationships/hyperlink" Target="https://casel.org/wp-content/uploads/2016/01/meta-analysis-child-development-1.pdf" TargetMode="External"/><Relationship Id="rId10" Type="http://schemas.openxmlformats.org/officeDocument/2006/relationships/hyperlink" Target="https://everypiecematters.com/jget/volume01-issue01/social-emotional-learning-and-at-risk-children-and-youth.html" TargetMode="External"/><Relationship Id="rId19" Type="http://schemas.openxmlformats.org/officeDocument/2006/relationships/hyperlink" Target="https://www.tandfonline.com/author/McMorris%2C+Barbara+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jph.aphapublications.org/doi/abs/10.2105/AJPH.2015.302630" TargetMode="External"/><Relationship Id="rId14" Type="http://schemas.openxmlformats.org/officeDocument/2006/relationships/hyperlink" Target="https://www.tandfonline.com/author/McRee%2C+Annie-Laurie" TargetMode="External"/><Relationship Id="rId22" Type="http://schemas.openxmlformats.org/officeDocument/2006/relationships/hyperlink" Target="https://www.tandfonline.com/author/Pettingell%2C+Sandra" TargetMode="External"/><Relationship Id="rId27" Type="http://schemas.openxmlformats.org/officeDocument/2006/relationships/hyperlink" Target="http://blogs.edweek.org/edweek/rulesforengagement/SEL-Revised.pdf" TargetMode="External"/><Relationship Id="rId30" Type="http://schemas.openxmlformats.org/officeDocument/2006/relationships/hyperlink" Target="http://www.eif.org.uk/wp-content/uploads/2015/03/EIF-Strand-1-Report-FINA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Cussen</dc:creator>
  <cp:lastModifiedBy>Brenda Cussen</cp:lastModifiedBy>
  <cp:revision>2</cp:revision>
  <dcterms:created xsi:type="dcterms:W3CDTF">2019-12-13T16:38:00Z</dcterms:created>
  <dcterms:modified xsi:type="dcterms:W3CDTF">2019-12-13T16:38:00Z</dcterms:modified>
</cp:coreProperties>
</file>