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A540B7">
      <w:pPr>
        <w:jc w:val="center"/>
        <w:rPr>
          <w:rFonts w:ascii="Gill Sans MT" w:hAnsi="Gill Sans MT"/>
          <w:b/>
          <w:sz w:val="32"/>
        </w:rPr>
      </w:pPr>
      <w:r w:rsidRPr="00982347">
        <w:rPr>
          <w:rFonts w:ascii="Gill Sans MT" w:hAnsi="Gill Sans MT"/>
          <w:b/>
          <w:sz w:val="32"/>
        </w:rPr>
        <w:t>New York State Stud</w:t>
      </w:r>
      <w:r w:rsidR="0089117A">
        <w:rPr>
          <w:rFonts w:ascii="Gill Sans MT" w:hAnsi="Gill Sans MT"/>
          <w:b/>
          <w:sz w:val="32"/>
        </w:rPr>
        <w:t xml:space="preserve">ent Learning Objective: </w:t>
      </w:r>
      <w:r w:rsidR="009E2B06">
        <w:rPr>
          <w:rFonts w:ascii="Gill Sans MT" w:hAnsi="Gill Sans MT"/>
          <w:b/>
          <w:color w:val="0070C0"/>
          <w:sz w:val="32"/>
        </w:rPr>
        <w:t>Math</w:t>
      </w:r>
      <w:r w:rsidR="00112829">
        <w:rPr>
          <w:rFonts w:ascii="Gill Sans MT" w:hAnsi="Gill Sans MT"/>
          <w:b/>
          <w:color w:val="0070C0"/>
          <w:sz w:val="32"/>
        </w:rPr>
        <w:t xml:space="preserve"> </w:t>
      </w:r>
      <w:r w:rsidR="00A07A16">
        <w:rPr>
          <w:rFonts w:ascii="Gill Sans MT" w:hAnsi="Gill Sans MT"/>
          <w:b/>
          <w:color w:val="0070C0"/>
          <w:sz w:val="32"/>
        </w:rPr>
        <w:t>3</w:t>
      </w:r>
      <w:r w:rsidR="00A07A16">
        <w:rPr>
          <w:rFonts w:ascii="Gill Sans MT" w:hAnsi="Gill Sans MT"/>
          <w:b/>
          <w:color w:val="0070C0"/>
          <w:sz w:val="32"/>
          <w:vertAlign w:val="superscript"/>
        </w:rPr>
        <w:t>rd</w:t>
      </w:r>
      <w:r w:rsidR="00112829">
        <w:rPr>
          <w:rFonts w:ascii="Gill Sans MT" w:hAnsi="Gill Sans MT"/>
          <w:b/>
          <w:color w:val="0070C0"/>
          <w:sz w:val="32"/>
        </w:rPr>
        <w:t xml:space="preserve"> Grade</w:t>
      </w:r>
    </w:p>
    <w:tbl>
      <w:tblPr>
        <w:tblW w:w="14505" w:type="dxa"/>
        <w:tblInd w:w="93" w:type="dxa"/>
        <w:tblLayout w:type="fixed"/>
        <w:tblLook w:val="00A0" w:firstRow="1" w:lastRow="0" w:firstColumn="1" w:lastColumn="0" w:noHBand="0" w:noVBand="0"/>
      </w:tblPr>
      <w:tblGrid>
        <w:gridCol w:w="2049"/>
        <w:gridCol w:w="12456"/>
      </w:tblGrid>
      <w:tr w:rsidR="005316CD" w:rsidRPr="00292D85" w:rsidTr="00906EA5">
        <w:trPr>
          <w:trHeight w:val="323"/>
        </w:trPr>
        <w:tc>
          <w:tcPr>
            <w:tcW w:w="14505"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5316CD" w:rsidRPr="006B476C" w:rsidRDefault="00AA36A8" w:rsidP="004462A2">
            <w:pPr>
              <w:spacing w:after="0" w:line="240" w:lineRule="auto"/>
              <w:rPr>
                <w:rFonts w:ascii="Arial" w:hAnsi="Arial" w:cs="Arial"/>
                <w:color w:val="0070C0"/>
                <w:sz w:val="20"/>
                <w:szCs w:val="20"/>
              </w:rPr>
            </w:pPr>
            <w:r w:rsidRPr="00AA36A8">
              <w:rPr>
                <w:rFonts w:ascii="Arial" w:hAnsi="Arial" w:cs="Arial"/>
                <w:color w:val="0070C0"/>
                <w:sz w:val="20"/>
                <w:szCs w:val="20"/>
              </w:rPr>
              <w:t xml:space="preserve">One section of </w:t>
            </w:r>
            <w:r w:rsidR="00160AD1">
              <w:rPr>
                <w:rFonts w:ascii="Arial" w:hAnsi="Arial" w:cs="Arial"/>
                <w:color w:val="0070C0"/>
                <w:sz w:val="20"/>
                <w:szCs w:val="20"/>
              </w:rPr>
              <w:t>third grade</w:t>
            </w:r>
            <w:bookmarkStart w:id="0" w:name="_GoBack"/>
            <w:bookmarkEnd w:id="0"/>
            <w:r w:rsidRPr="00AA36A8">
              <w:rPr>
                <w:rFonts w:ascii="Arial" w:hAnsi="Arial" w:cs="Arial"/>
                <w:color w:val="0070C0"/>
                <w:sz w:val="20"/>
                <w:szCs w:val="20"/>
              </w:rPr>
              <w:t>, heterogeneously grouped, 25 students.</w:t>
            </w:r>
          </w:p>
          <w:p w:rsidR="005316CD" w:rsidRPr="006B476C" w:rsidRDefault="005316CD" w:rsidP="004462A2">
            <w:pPr>
              <w:spacing w:after="0" w:line="240" w:lineRule="auto"/>
              <w:rPr>
                <w:rFonts w:ascii="Arial" w:hAnsi="Arial" w:cs="Arial"/>
                <w:color w:val="0070C0"/>
                <w:sz w:val="20"/>
                <w:szCs w:val="20"/>
              </w:rPr>
            </w:pPr>
          </w:p>
          <w:p w:rsidR="005316CD" w:rsidRPr="00E10A04" w:rsidRDefault="005316CD"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A335E">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to specific priority standards? </w:t>
            </w:r>
          </w:p>
          <w:p w:rsidR="00A07A16" w:rsidRPr="00A07A16" w:rsidRDefault="00A07A16" w:rsidP="00A07A16">
            <w:pPr>
              <w:spacing w:after="0" w:line="240" w:lineRule="auto"/>
              <w:rPr>
                <w:rFonts w:ascii="Arial" w:hAnsi="Arial" w:cs="Arial"/>
                <w:color w:val="0070C0"/>
                <w:sz w:val="20"/>
                <w:szCs w:val="20"/>
              </w:rPr>
            </w:pPr>
            <w:r w:rsidRPr="00A07A16">
              <w:rPr>
                <w:rFonts w:ascii="Arial" w:hAnsi="Arial" w:cs="Arial"/>
                <w:color w:val="0070C0"/>
                <w:sz w:val="20"/>
                <w:szCs w:val="20"/>
              </w:rPr>
              <w:t xml:space="preserve">Operations and Algebraic </w:t>
            </w:r>
            <w:r w:rsidR="00AD3D17" w:rsidRPr="00A07A16">
              <w:rPr>
                <w:rFonts w:ascii="Arial" w:hAnsi="Arial" w:cs="Arial"/>
                <w:color w:val="0070C0"/>
                <w:sz w:val="20"/>
                <w:szCs w:val="20"/>
              </w:rPr>
              <w:t>Thinking (</w:t>
            </w:r>
            <w:r w:rsidRPr="00A07A16">
              <w:rPr>
                <w:rFonts w:ascii="Arial" w:hAnsi="Arial" w:cs="Arial"/>
                <w:color w:val="0070C0"/>
                <w:sz w:val="20"/>
                <w:szCs w:val="20"/>
              </w:rPr>
              <w:t xml:space="preserve">Represent and solve problems involving addition and subtraction. Understand and apply properties of operations and the relationship between addition and subtraction.  Add and subtract within 20.  Work with addition and subtraction equations.)   </w:t>
            </w:r>
          </w:p>
          <w:p w:rsidR="00A07A16" w:rsidRPr="00A07A16" w:rsidRDefault="00A07A16" w:rsidP="00A07A16">
            <w:pPr>
              <w:spacing w:after="0" w:line="240" w:lineRule="auto"/>
              <w:rPr>
                <w:rFonts w:ascii="Arial" w:hAnsi="Arial" w:cs="Arial"/>
                <w:color w:val="0070C0"/>
                <w:sz w:val="20"/>
                <w:szCs w:val="20"/>
              </w:rPr>
            </w:pPr>
            <w:r w:rsidRPr="00A07A16">
              <w:rPr>
                <w:rFonts w:ascii="Arial" w:hAnsi="Arial" w:cs="Arial"/>
                <w:color w:val="0070C0"/>
                <w:sz w:val="20"/>
                <w:szCs w:val="20"/>
              </w:rPr>
              <w:t xml:space="preserve">Number and Operations in Base </w:t>
            </w:r>
            <w:r w:rsidR="00AD3D17" w:rsidRPr="00A07A16">
              <w:rPr>
                <w:rFonts w:ascii="Arial" w:hAnsi="Arial" w:cs="Arial"/>
                <w:color w:val="0070C0"/>
                <w:sz w:val="20"/>
                <w:szCs w:val="20"/>
              </w:rPr>
              <w:t>Ten (</w:t>
            </w:r>
            <w:r w:rsidRPr="00A07A16">
              <w:rPr>
                <w:rFonts w:ascii="Arial" w:hAnsi="Arial" w:cs="Arial"/>
                <w:color w:val="0070C0"/>
                <w:sz w:val="20"/>
                <w:szCs w:val="20"/>
              </w:rPr>
              <w:t xml:space="preserve">Extend the counting   sequence. Understand place value. Use place value understanding and properties of operations to add and subtract.) </w:t>
            </w:r>
          </w:p>
          <w:p w:rsidR="00FF1454" w:rsidRPr="00E10A04" w:rsidRDefault="00A07A16" w:rsidP="00A07A16">
            <w:pPr>
              <w:spacing w:after="0" w:line="240" w:lineRule="auto"/>
              <w:rPr>
                <w:rFonts w:ascii="Arial" w:hAnsi="Arial" w:cs="Arial"/>
                <w:color w:val="000000"/>
                <w:sz w:val="20"/>
                <w:szCs w:val="20"/>
              </w:rPr>
            </w:pPr>
            <w:r w:rsidRPr="00A07A16">
              <w:rPr>
                <w:rFonts w:ascii="Arial" w:hAnsi="Arial" w:cs="Arial"/>
                <w:color w:val="0070C0"/>
                <w:sz w:val="20"/>
                <w:szCs w:val="20"/>
              </w:rPr>
              <w:t xml:space="preserve">Measurement and </w:t>
            </w:r>
            <w:r w:rsidR="00AD3D17" w:rsidRPr="00A07A16">
              <w:rPr>
                <w:rFonts w:ascii="Arial" w:hAnsi="Arial" w:cs="Arial"/>
                <w:color w:val="0070C0"/>
                <w:sz w:val="20"/>
                <w:szCs w:val="20"/>
              </w:rPr>
              <w:t>Data (</w:t>
            </w:r>
            <w:r w:rsidRPr="00A07A16">
              <w:rPr>
                <w:rFonts w:ascii="Arial" w:hAnsi="Arial" w:cs="Arial"/>
                <w:color w:val="0070C0"/>
                <w:sz w:val="20"/>
                <w:szCs w:val="20"/>
              </w:rPr>
              <w:t>Measure lengths indirectly and by iterating length units.)</w:t>
            </w:r>
          </w:p>
        </w:tc>
      </w:tr>
      <w:tr w:rsidR="005316CD"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instructional period covered (if not a year, rationale for semester/quarter/</w:t>
            </w:r>
            <w:r w:rsidR="00AA36A8" w:rsidRPr="00292D85">
              <w:rPr>
                <w:i/>
                <w:sz w:val="20"/>
                <w:szCs w:val="20"/>
              </w:rPr>
              <w:t>etc.</w:t>
            </w:r>
            <w:r w:rsidRPr="00292D85">
              <w:rPr>
                <w:i/>
                <w:sz w:val="20"/>
                <w:szCs w:val="20"/>
              </w:rPr>
              <w:t>)?</w:t>
            </w:r>
          </w:p>
          <w:p w:rsidR="005316CD" w:rsidRPr="006B476C" w:rsidRDefault="00AA36A8" w:rsidP="00E10A04">
            <w:pPr>
              <w:spacing w:after="0" w:line="240" w:lineRule="auto"/>
              <w:rPr>
                <w:rFonts w:ascii="Arial" w:hAnsi="Arial" w:cs="Arial"/>
                <w:color w:val="0070C0"/>
                <w:sz w:val="20"/>
                <w:szCs w:val="20"/>
              </w:rPr>
            </w:pPr>
            <w:r w:rsidRPr="00AA36A8">
              <w:rPr>
                <w:rFonts w:ascii="Arial" w:hAnsi="Arial" w:cs="Arial"/>
                <w:color w:val="0070C0"/>
                <w:sz w:val="20"/>
                <w:szCs w:val="20"/>
              </w:rPr>
              <w:t>2012-2013 school year.</w:t>
            </w:r>
          </w:p>
          <w:p w:rsidR="005316CD" w:rsidRPr="006B476C" w:rsidRDefault="005316CD" w:rsidP="00E10A04">
            <w:pPr>
              <w:spacing w:after="0" w:line="240" w:lineRule="auto"/>
              <w:rPr>
                <w:rFonts w:ascii="Arial" w:hAnsi="Arial" w:cs="Arial"/>
                <w:color w:val="0070C0"/>
                <w:sz w:val="20"/>
                <w:szCs w:val="20"/>
              </w:rPr>
            </w:pP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A07A16" w:rsidRPr="00A07A16" w:rsidRDefault="00A07A16" w:rsidP="00A07A16">
            <w:pPr>
              <w:rPr>
                <w:rFonts w:ascii="Arial" w:hAnsi="Arial" w:cs="Arial"/>
                <w:color w:val="0070C0"/>
                <w:sz w:val="20"/>
                <w:szCs w:val="20"/>
              </w:rPr>
            </w:pPr>
            <w:r w:rsidRPr="00A07A16">
              <w:rPr>
                <w:rFonts w:ascii="Arial" w:hAnsi="Arial" w:cs="Arial"/>
                <w:color w:val="0070C0"/>
                <w:sz w:val="20"/>
                <w:szCs w:val="20"/>
              </w:rPr>
              <w:t>Baseline assessment: Results of 2nd Grade End of Year Math Assessment and 3rd Grade Math Pre-test (parallel assessment to Grade 2 EOY assessment to determine regression).</w:t>
            </w:r>
          </w:p>
          <w:p w:rsidR="00FF1454" w:rsidRPr="000551D7" w:rsidRDefault="00A07A16" w:rsidP="00A07A16">
            <w:pPr>
              <w:pStyle w:val="ListParagraph"/>
              <w:spacing w:after="0" w:line="240" w:lineRule="auto"/>
              <w:ind w:left="0"/>
              <w:rPr>
                <w:rFonts w:ascii="Arial" w:hAnsi="Arial" w:cs="Arial"/>
                <w:color w:val="000000"/>
                <w:sz w:val="20"/>
                <w:szCs w:val="20"/>
              </w:rPr>
            </w:pPr>
            <w:r w:rsidRPr="00A07A16">
              <w:rPr>
                <w:rFonts w:ascii="Arial" w:hAnsi="Arial" w:cs="Arial"/>
                <w:color w:val="0070C0"/>
                <w:sz w:val="20"/>
                <w:szCs w:val="20"/>
              </w:rPr>
              <w:t>Summative assessment: Grade 3 New York State Math Assessment results</w:t>
            </w:r>
          </w:p>
        </w:tc>
      </w:tr>
      <w:tr w:rsidR="005316CD" w:rsidRPr="00292D85"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Baseline</w:t>
            </w:r>
          </w:p>
        </w:tc>
        <w:tc>
          <w:tcPr>
            <w:tcW w:w="12456" w:type="dxa"/>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starting level of students’ knowledge of the learning content at the beginning of the instructional period?</w:t>
            </w:r>
          </w:p>
          <w:p w:rsidR="00A07A16" w:rsidRDefault="00E765EE" w:rsidP="004462A2">
            <w:pPr>
              <w:spacing w:after="0" w:line="240" w:lineRule="auto"/>
              <w:rPr>
                <w:rFonts w:ascii="Arial" w:hAnsi="Arial" w:cs="Arial"/>
                <w:color w:val="0070C0"/>
                <w:sz w:val="20"/>
                <w:szCs w:val="20"/>
              </w:rPr>
            </w:pPr>
            <w:r>
              <w:rPr>
                <w:rFonts w:ascii="Arial" w:hAnsi="Arial" w:cs="Arial"/>
                <w:color w:val="0070C0"/>
                <w:sz w:val="20"/>
                <w:szCs w:val="20"/>
              </w:rPr>
              <w:t>On last year’s 2nd</w:t>
            </w:r>
            <w:r w:rsidRPr="00E765EE">
              <w:rPr>
                <w:rFonts w:ascii="Arial" w:hAnsi="Arial" w:cs="Arial"/>
                <w:color w:val="0070C0"/>
                <w:sz w:val="20"/>
                <w:szCs w:val="20"/>
              </w:rPr>
              <w:t xml:space="preserve"> Grade End of Year Math Assessment: 5% of the students scored 100 points, 40% scored 85-99 points, 30% scored 70-84 points, and 25% scored fewer than 70 points.</w:t>
            </w:r>
          </w:p>
          <w:p w:rsidR="00E765EE" w:rsidRPr="004462A2" w:rsidRDefault="00E765EE" w:rsidP="004462A2">
            <w:pPr>
              <w:spacing w:after="0" w:line="240" w:lineRule="auto"/>
              <w:rPr>
                <w:rFonts w:ascii="Arial" w:hAnsi="Arial" w:cs="Arial"/>
                <w:color w:val="000000"/>
                <w:sz w:val="20"/>
                <w:szCs w:val="20"/>
              </w:rPr>
            </w:pPr>
          </w:p>
        </w:tc>
      </w:tr>
    </w:tbl>
    <w:p w:rsidR="00F71A53" w:rsidRDefault="00F71A53">
      <w:r>
        <w:br w:type="page"/>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736D27">
            <w:pPr>
              <w:rPr>
                <w:i/>
                <w:sz w:val="20"/>
                <w:szCs w:val="20"/>
              </w:rPr>
            </w:pPr>
            <w:r w:rsidRPr="00292D85">
              <w:rPr>
                <w:i/>
                <w:sz w:val="20"/>
                <w:szCs w:val="20"/>
              </w:rPr>
              <w:t>What is the expected outcome (target) of students’ level of knowledge of the learning content at the end of the instructional period?</w:t>
            </w:r>
          </w:p>
          <w:p w:rsidR="005316CD" w:rsidRPr="00AA36A8" w:rsidRDefault="00A07A16" w:rsidP="00906EA5">
            <w:pPr>
              <w:rPr>
                <w:rFonts w:ascii="Arial" w:hAnsi="Arial" w:cs="Arial"/>
                <w:color w:val="0070C0"/>
                <w:sz w:val="20"/>
                <w:szCs w:val="20"/>
              </w:rPr>
            </w:pPr>
            <w:r w:rsidRPr="00A07A16">
              <w:rPr>
                <w:rFonts w:ascii="Arial" w:hAnsi="Arial" w:cs="Arial"/>
                <w:color w:val="0070C0"/>
                <w:sz w:val="20"/>
                <w:szCs w:val="20"/>
              </w:rPr>
              <w:t>Eighty percent of the students will score Level 3 or higher on the NYS Math summative assessment.</w:t>
            </w:r>
          </w:p>
        </w:tc>
      </w:tr>
      <w:tr w:rsidR="005316CD" w:rsidRPr="00292D85"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5316CD" w:rsidRPr="00AA36A8" w:rsidRDefault="00AA36A8" w:rsidP="00906EA5">
            <w:pPr>
              <w:rPr>
                <w:rFonts w:ascii="Arial" w:hAnsi="Arial" w:cs="Arial"/>
                <w:color w:val="0070C0"/>
                <w:sz w:val="20"/>
                <w:szCs w:val="20"/>
              </w:rPr>
            </w:pPr>
            <w:r w:rsidRPr="00AA36A8">
              <w:rPr>
                <w:rFonts w:ascii="Arial" w:hAnsi="Arial" w:cs="Arial"/>
                <w:color w:val="0070C0"/>
                <w:sz w:val="20"/>
                <w:szCs w:val="20"/>
              </w:rPr>
              <w:t xml:space="preserve">The district target is based on </w:t>
            </w:r>
            <w:r>
              <w:rPr>
                <w:rFonts w:ascii="Arial" w:hAnsi="Arial" w:cs="Arial"/>
                <w:color w:val="0070C0"/>
                <w:sz w:val="20"/>
                <w:szCs w:val="20"/>
              </w:rPr>
              <w:t>an analysis of historical district and building data.</w:t>
            </w:r>
          </w:p>
          <w:p w:rsidR="005316CD" w:rsidRPr="00E10A04" w:rsidRDefault="005316CD" w:rsidP="005673D9">
            <w:pPr>
              <w:spacing w:after="0" w:line="240" w:lineRule="auto"/>
              <w:rPr>
                <w:rFonts w:ascii="Arial" w:hAnsi="Arial" w:cs="Arial"/>
                <w:color w:val="000000"/>
                <w:sz w:val="20"/>
                <w:szCs w:val="20"/>
              </w:rPr>
            </w:pPr>
          </w:p>
        </w:tc>
      </w:tr>
      <w:tr w:rsidR="005316CD" w:rsidRPr="00292D85"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AA36A8" w:rsidRPr="00292D85" w:rsidTr="00906EA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AA36A8" w:rsidRPr="00982347" w:rsidRDefault="00AA36A8"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Pr="00800C99" w:rsidRDefault="00AA36A8" w:rsidP="004010CC">
            <w:pPr>
              <w:pStyle w:val="NormalWeb"/>
              <w:spacing w:before="0" w:beforeAutospacing="0" w:after="0" w:afterAutospacing="0" w:line="276" w:lineRule="auto"/>
              <w:jc w:val="center"/>
              <w:rPr>
                <w:rFonts w:ascii="Arial" w:hAnsi="Arial"/>
                <w:sz w:val="14"/>
                <w:szCs w:val="14"/>
              </w:rPr>
            </w:pPr>
            <w:r>
              <w:rPr>
                <w:rFonts w:ascii="Arial" w:eastAsia="Times New Roman" w:hAnsi="Arial"/>
                <w:b/>
                <w:bCs/>
                <w:color w:val="0070C0"/>
                <w:kern w:val="24"/>
                <w:sz w:val="14"/>
                <w:szCs w:val="14"/>
              </w:rPr>
              <w:t>99-100%</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97-98%</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96-96%</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92-94%</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88-91%</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85-87%</w:t>
            </w:r>
          </w:p>
        </w:tc>
        <w:tc>
          <w:tcPr>
            <w:tcW w:w="594"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82-84%</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Pr="00AA36A8" w:rsidRDefault="00AA36A8" w:rsidP="004010CC">
            <w:pPr>
              <w:pStyle w:val="NormalWeb"/>
              <w:spacing w:before="0" w:beforeAutospacing="0" w:after="0" w:afterAutospacing="0" w:line="276" w:lineRule="auto"/>
              <w:jc w:val="center"/>
              <w:rPr>
                <w:rFonts w:ascii="Arial" w:hAnsi="Arial"/>
                <w:b/>
                <w:color w:val="4F81BD" w:themeColor="accent1"/>
                <w:sz w:val="36"/>
                <w:szCs w:val="36"/>
              </w:rPr>
            </w:pPr>
            <w:r w:rsidRPr="00AA36A8">
              <w:rPr>
                <w:rFonts w:ascii="Arial" w:eastAsia="Times New Roman" w:hAnsi="Arial"/>
                <w:b/>
                <w:bCs/>
                <w:color w:val="4F81BD" w:themeColor="accent1"/>
                <w:kern w:val="24"/>
                <w:sz w:val="14"/>
                <w:szCs w:val="14"/>
              </w:rPr>
              <w:t>79-81%</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76-78%</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73-75%</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71-72%</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68-70%</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64-67%</w:t>
            </w:r>
            <w:r>
              <w:rPr>
                <w:rFonts w:ascii="Arial" w:eastAsia="Times New Roman" w:hAnsi="Arial"/>
                <w:color w:val="000000"/>
                <w:kern w:val="24"/>
                <w:sz w:val="14"/>
                <w:szCs w:val="14"/>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60-63%</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57-59%</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53-56%</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color w:val="000000"/>
                <w:kern w:val="24"/>
                <w:sz w:val="14"/>
                <w:szCs w:val="14"/>
              </w:rPr>
              <w:t xml:space="preserve"> </w:t>
            </w:r>
            <w:r>
              <w:rPr>
                <w:rFonts w:ascii="Arial" w:eastAsia="Times New Roman" w:hAnsi="Arial"/>
                <w:b/>
                <w:bCs/>
                <w:color w:val="0070C0"/>
                <w:kern w:val="24"/>
                <w:sz w:val="14"/>
                <w:szCs w:val="14"/>
              </w:rPr>
              <w:t>49-52%</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45-48%</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40-44%</w:t>
            </w:r>
            <w:r>
              <w:rPr>
                <w:rFonts w:ascii="Arial" w:eastAsia="Times New Roman" w:hAnsi="Arial"/>
                <w:color w:val="000000"/>
                <w:kern w:val="24"/>
                <w:sz w:val="14"/>
                <w:szCs w:val="14"/>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30-39%</w:t>
            </w:r>
            <w:r>
              <w:rPr>
                <w:rFonts w:ascii="Arial" w:eastAsia="Times New Roman" w:hAnsi="Arial"/>
                <w:color w:val="000000"/>
                <w:kern w:val="24"/>
                <w:sz w:val="14"/>
                <w:szCs w:val="14"/>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AA36A8" w:rsidRDefault="00AA36A8" w:rsidP="004010CC">
            <w:pPr>
              <w:pStyle w:val="NormalWeb"/>
              <w:spacing w:before="0" w:beforeAutospacing="0" w:after="0" w:afterAutospacing="0" w:line="276" w:lineRule="auto"/>
              <w:jc w:val="center"/>
              <w:rPr>
                <w:rFonts w:ascii="Arial" w:hAnsi="Arial"/>
                <w:sz w:val="36"/>
                <w:szCs w:val="36"/>
              </w:rPr>
            </w:pPr>
            <w:r>
              <w:rPr>
                <w:rFonts w:ascii="Arial" w:eastAsia="Times New Roman" w:hAnsi="Arial"/>
                <w:b/>
                <w:bCs/>
                <w:color w:val="0070C0"/>
                <w:kern w:val="24"/>
                <w:sz w:val="14"/>
                <w:szCs w:val="14"/>
              </w:rPr>
              <w:t>&lt;30%</w:t>
            </w:r>
            <w:r>
              <w:rPr>
                <w:rFonts w:ascii="Arial" w:eastAsia="Times New Roman" w:hAnsi="Arial"/>
                <w:color w:val="000000"/>
                <w:kern w:val="24"/>
                <w:sz w:val="14"/>
                <w:szCs w:val="14"/>
              </w:rPr>
              <w:t xml:space="preserve"> </w:t>
            </w:r>
          </w:p>
        </w:tc>
      </w:tr>
      <w:tr w:rsidR="005316CD" w:rsidRPr="00292D85"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AA36A8" w:rsidRDefault="005316CD"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FF1454" w:rsidRDefault="00A07A16" w:rsidP="000551D7">
            <w:pPr>
              <w:spacing w:after="0" w:line="240" w:lineRule="auto"/>
              <w:rPr>
                <w:rFonts w:ascii="Arial" w:hAnsi="Arial" w:cs="Arial"/>
                <w:color w:val="0070C0"/>
                <w:sz w:val="20"/>
                <w:szCs w:val="20"/>
              </w:rPr>
            </w:pPr>
            <w:r w:rsidRPr="00A07A16">
              <w:rPr>
                <w:rFonts w:ascii="Arial" w:hAnsi="Arial" w:cs="Arial"/>
                <w:color w:val="0070C0"/>
                <w:sz w:val="20"/>
                <w:szCs w:val="20"/>
              </w:rPr>
              <w:t>The Learning Content is based on Grade 3 Operations and Algebraic Thinking, Number and Operations in Base Ten, and Measurement and Data Common Core Learning (Priority) Standards. The baseline evidence combines Second Grade Math End of Year Assessment scores with Third Grade Math Benchmark scores. Similarly, the summative assessment is based Third Grade NYS Math Assessment scores. The summative score is calculated by New York State after the assessment has been administered.  Both the baseline assessment and summative assessment assess priority standards for Operations and Algebraic Thinking, Number and Operations in Base Ten, and Measurement and Data.</w:t>
            </w:r>
          </w:p>
          <w:p w:rsidR="00A07A16" w:rsidRPr="00E10A04" w:rsidRDefault="00A07A16" w:rsidP="000551D7">
            <w:pPr>
              <w:spacing w:after="0" w:line="240" w:lineRule="auto"/>
              <w:rPr>
                <w:rFonts w:ascii="Arial" w:hAnsi="Arial" w:cs="Arial"/>
                <w:color w:val="000000"/>
                <w:sz w:val="20"/>
                <w:szCs w:val="20"/>
              </w:rPr>
            </w:pPr>
          </w:p>
        </w:tc>
      </w:tr>
    </w:tbl>
    <w:p w:rsidR="005316CD" w:rsidRDefault="005316CD"/>
    <w:sectPr w:rsidR="005316CD"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D1D" w:rsidRDefault="00A22D1D" w:rsidP="005673D9">
      <w:pPr>
        <w:spacing w:after="0" w:line="240" w:lineRule="auto"/>
      </w:pPr>
      <w:r>
        <w:separator/>
      </w:r>
    </w:p>
  </w:endnote>
  <w:endnote w:type="continuationSeparator" w:id="0">
    <w:p w:rsidR="00A22D1D" w:rsidRDefault="00A22D1D"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CD" w:rsidRPr="005673D9" w:rsidRDefault="005316CD"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D1D" w:rsidRDefault="00A22D1D" w:rsidP="005673D9">
      <w:pPr>
        <w:spacing w:after="0" w:line="240" w:lineRule="auto"/>
      </w:pPr>
      <w:r>
        <w:separator/>
      </w:r>
    </w:p>
  </w:footnote>
  <w:footnote w:type="continuationSeparator" w:id="0">
    <w:p w:rsidR="00A22D1D" w:rsidRDefault="00A22D1D"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112829"/>
    <w:rsid w:val="00160AD1"/>
    <w:rsid w:val="00292D85"/>
    <w:rsid w:val="003A7612"/>
    <w:rsid w:val="003C2591"/>
    <w:rsid w:val="004462A2"/>
    <w:rsid w:val="004D7BF3"/>
    <w:rsid w:val="005316CD"/>
    <w:rsid w:val="00544597"/>
    <w:rsid w:val="00544D05"/>
    <w:rsid w:val="005673D9"/>
    <w:rsid w:val="005854C8"/>
    <w:rsid w:val="005E076B"/>
    <w:rsid w:val="00650CF7"/>
    <w:rsid w:val="006B476C"/>
    <w:rsid w:val="006D3DA1"/>
    <w:rsid w:val="00736D27"/>
    <w:rsid w:val="00766A97"/>
    <w:rsid w:val="00805767"/>
    <w:rsid w:val="0081272A"/>
    <w:rsid w:val="0089117A"/>
    <w:rsid w:val="008A6B39"/>
    <w:rsid w:val="008F7C3A"/>
    <w:rsid w:val="00906EA5"/>
    <w:rsid w:val="00982347"/>
    <w:rsid w:val="009A335E"/>
    <w:rsid w:val="009E2B06"/>
    <w:rsid w:val="00A07A16"/>
    <w:rsid w:val="00A16037"/>
    <w:rsid w:val="00A22D1D"/>
    <w:rsid w:val="00A540B7"/>
    <w:rsid w:val="00A726EE"/>
    <w:rsid w:val="00AA36A8"/>
    <w:rsid w:val="00AD3D17"/>
    <w:rsid w:val="00BC2448"/>
    <w:rsid w:val="00C7024D"/>
    <w:rsid w:val="00C73358"/>
    <w:rsid w:val="00E10A04"/>
    <w:rsid w:val="00E36F46"/>
    <w:rsid w:val="00E765EE"/>
    <w:rsid w:val="00F01284"/>
    <w:rsid w:val="00F71A53"/>
    <w:rsid w:val="00FD17BB"/>
    <w:rsid w:val="00FD353C"/>
    <w:rsid w:val="00FF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uiPriority w:val="99"/>
    <w:rsid w:val="009A335E"/>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uiPriority w:val="99"/>
    <w:rsid w:val="009A335E"/>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jcraig</cp:lastModifiedBy>
  <cp:revision>8</cp:revision>
  <cp:lastPrinted>2012-05-08T11:51:00Z</cp:lastPrinted>
  <dcterms:created xsi:type="dcterms:W3CDTF">2012-04-23T17:00:00Z</dcterms:created>
  <dcterms:modified xsi:type="dcterms:W3CDTF">2012-05-17T11:41:00Z</dcterms:modified>
</cp:coreProperties>
</file>