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w:t>
      </w:r>
      <w:r w:rsidR="0089117A">
        <w:rPr>
          <w:rFonts w:ascii="Gill Sans MT" w:hAnsi="Gill Sans MT"/>
          <w:b/>
          <w:sz w:val="32"/>
        </w:rPr>
        <w:t>ent Learning Objective</w:t>
      </w:r>
      <w:bookmarkStart w:id="0" w:name="_GoBack"/>
      <w:bookmarkEnd w:id="0"/>
      <w:r w:rsidR="0089117A">
        <w:rPr>
          <w:rFonts w:ascii="Gill Sans MT" w:hAnsi="Gill Sans MT"/>
          <w:b/>
          <w:sz w:val="32"/>
        </w:rPr>
        <w:t xml:space="preserve">: </w:t>
      </w:r>
      <w:r w:rsidR="00DB412A">
        <w:rPr>
          <w:rFonts w:ascii="Gill Sans MT" w:hAnsi="Gill Sans MT"/>
          <w:b/>
          <w:color w:val="0070C0"/>
          <w:sz w:val="32"/>
        </w:rPr>
        <w:t>Home &amp; Career Skills</w:t>
      </w:r>
    </w:p>
    <w:tbl>
      <w:tblPr>
        <w:tblW w:w="14505" w:type="dxa"/>
        <w:tblInd w:w="93" w:type="dxa"/>
        <w:tblLayout w:type="fixed"/>
        <w:tblCellMar>
          <w:left w:w="0" w:type="dxa"/>
          <w:right w:w="0" w:type="dxa"/>
        </w:tblCellMar>
        <w:tblLook w:val="00A0" w:firstRow="1" w:lastRow="0" w:firstColumn="1" w:lastColumn="0" w:noHBand="0" w:noVBand="0"/>
      </w:tblPr>
      <w:tblGrid>
        <w:gridCol w:w="2265"/>
        <w:gridCol w:w="377"/>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86F87">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86F87">
        <w:trPr>
          <w:trHeight w:val="868"/>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6B476C" w:rsidRDefault="005316CD" w:rsidP="004462A2">
            <w:pPr>
              <w:spacing w:after="0" w:line="240" w:lineRule="auto"/>
              <w:rPr>
                <w:rFonts w:ascii="Arial" w:hAnsi="Arial" w:cs="Arial"/>
                <w:color w:val="0070C0"/>
                <w:sz w:val="20"/>
                <w:szCs w:val="20"/>
              </w:rPr>
            </w:pPr>
          </w:p>
          <w:p w:rsidR="005316CD" w:rsidRPr="006B476C" w:rsidRDefault="00B00586" w:rsidP="004462A2">
            <w:pPr>
              <w:spacing w:after="0" w:line="240" w:lineRule="auto"/>
              <w:rPr>
                <w:rFonts w:ascii="Arial" w:hAnsi="Arial" w:cs="Arial"/>
                <w:color w:val="0070C0"/>
                <w:sz w:val="20"/>
                <w:szCs w:val="20"/>
              </w:rPr>
            </w:pPr>
            <w:r>
              <w:rPr>
                <w:rFonts w:ascii="Arial" w:hAnsi="Arial" w:cs="Arial"/>
                <w:color w:val="0070C0"/>
                <w:sz w:val="20"/>
                <w:szCs w:val="20"/>
              </w:rPr>
              <w:t>3 sections of 7</w:t>
            </w:r>
            <w:r w:rsidRPr="00B00586">
              <w:rPr>
                <w:rFonts w:ascii="Arial" w:hAnsi="Arial" w:cs="Arial"/>
                <w:color w:val="0070C0"/>
                <w:sz w:val="20"/>
                <w:szCs w:val="20"/>
                <w:vertAlign w:val="superscript"/>
              </w:rPr>
              <w:t>th</w:t>
            </w:r>
            <w:r>
              <w:rPr>
                <w:rFonts w:ascii="Arial" w:hAnsi="Arial" w:cs="Arial"/>
                <w:color w:val="0070C0"/>
                <w:sz w:val="20"/>
                <w:szCs w:val="20"/>
              </w:rPr>
              <w:t xml:space="preserve"> Grade Home &amp; Careers; heterogeneously grouped; 65 students</w:t>
            </w:r>
          </w:p>
          <w:p w:rsidR="005316CD" w:rsidRPr="00E10A04" w:rsidRDefault="005316CD" w:rsidP="004462A2">
            <w:pPr>
              <w:spacing w:after="0" w:line="240" w:lineRule="auto"/>
              <w:rPr>
                <w:rFonts w:ascii="Arial" w:hAnsi="Arial" w:cs="Arial"/>
                <w:color w:val="000000"/>
                <w:sz w:val="20"/>
                <w:szCs w:val="20"/>
              </w:rPr>
            </w:pPr>
          </w:p>
        </w:tc>
      </w:tr>
      <w:tr w:rsidR="005316CD" w:rsidRPr="00292D85" w:rsidTr="00986F87">
        <w:trPr>
          <w:trHeight w:val="858"/>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to specific priority standards? </w:t>
            </w:r>
          </w:p>
          <w:p w:rsidR="005316CD" w:rsidRDefault="00B00586" w:rsidP="00906EA5">
            <w:pPr>
              <w:rPr>
                <w:rFonts w:ascii="Arial" w:hAnsi="Arial" w:cs="Arial"/>
                <w:color w:val="0070C0"/>
                <w:sz w:val="20"/>
                <w:szCs w:val="20"/>
              </w:rPr>
            </w:pPr>
            <w:r>
              <w:rPr>
                <w:rFonts w:ascii="Arial" w:hAnsi="Arial" w:cs="Arial"/>
                <w:color w:val="0070C0"/>
                <w:sz w:val="20"/>
                <w:szCs w:val="20"/>
              </w:rPr>
              <w:t>Common Core Writing Standard 9: Draw evidence from literary or information texts to support analysis, reflection and research.</w:t>
            </w:r>
          </w:p>
          <w:p w:rsidR="00B00586" w:rsidRDefault="00B00586" w:rsidP="00906EA5">
            <w:pPr>
              <w:rPr>
                <w:rFonts w:ascii="Arial" w:hAnsi="Arial" w:cs="Arial"/>
                <w:color w:val="0070C0"/>
                <w:sz w:val="20"/>
                <w:szCs w:val="20"/>
              </w:rPr>
            </w:pPr>
            <w:r>
              <w:rPr>
                <w:rFonts w:ascii="Arial" w:hAnsi="Arial" w:cs="Arial"/>
                <w:color w:val="0070C0"/>
                <w:sz w:val="20"/>
                <w:szCs w:val="20"/>
              </w:rPr>
              <w:t>Common Core Reading Standard 8: Distinguish among facts, reasoned judgment based on research findings, and speculation in a text.</w:t>
            </w:r>
          </w:p>
          <w:p w:rsidR="005316CD" w:rsidRDefault="00B00586" w:rsidP="00906EA5">
            <w:pPr>
              <w:rPr>
                <w:rFonts w:ascii="Arial" w:hAnsi="Arial" w:cs="Arial"/>
                <w:color w:val="0070C0"/>
                <w:sz w:val="20"/>
                <w:szCs w:val="20"/>
              </w:rPr>
            </w:pPr>
            <w:r>
              <w:rPr>
                <w:rFonts w:ascii="Arial" w:hAnsi="Arial" w:cs="Arial"/>
                <w:color w:val="0070C0"/>
                <w:sz w:val="20"/>
                <w:szCs w:val="20"/>
              </w:rPr>
              <w:t>National Career Development and Occupational Studies Standard 1: Students will acquire the attitudes, knowledge, and skills that contribute to effective learning in school and across the life span.</w:t>
            </w:r>
          </w:p>
          <w:p w:rsidR="005316CD" w:rsidRPr="00E10A04" w:rsidRDefault="00B00586" w:rsidP="00B00586">
            <w:pPr>
              <w:rPr>
                <w:rFonts w:ascii="Arial" w:hAnsi="Arial" w:cs="Arial"/>
                <w:color w:val="000000"/>
                <w:sz w:val="20"/>
                <w:szCs w:val="20"/>
              </w:rPr>
            </w:pPr>
            <w:r>
              <w:rPr>
                <w:rFonts w:ascii="Arial" w:hAnsi="Arial" w:cs="Arial"/>
                <w:color w:val="0070C0"/>
                <w:sz w:val="20"/>
                <w:szCs w:val="20"/>
              </w:rPr>
              <w:t>National CDOS Standard 4: Students will acquire the skills to investigate the world of work in relation to knowledge of self and to make informed decisions.</w:t>
            </w:r>
          </w:p>
        </w:tc>
      </w:tr>
      <w:tr w:rsidR="005316CD" w:rsidRPr="00292D85" w:rsidTr="00986F87">
        <w:trPr>
          <w:trHeight w:val="915"/>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instructional period covered (if not a year, rationale for semester/quarter/</w:t>
            </w:r>
            <w:r w:rsidR="00F93E5B" w:rsidRPr="00292D85">
              <w:rPr>
                <w:i/>
                <w:sz w:val="20"/>
                <w:szCs w:val="20"/>
              </w:rPr>
              <w:t>etc.</w:t>
            </w:r>
            <w:r w:rsidRPr="00292D85">
              <w:rPr>
                <w:i/>
                <w:sz w:val="20"/>
                <w:szCs w:val="20"/>
              </w:rPr>
              <w:t>)?</w:t>
            </w:r>
          </w:p>
          <w:p w:rsidR="005316CD" w:rsidRPr="006B476C" w:rsidRDefault="00172656" w:rsidP="00E10A04">
            <w:pPr>
              <w:spacing w:after="0" w:line="240" w:lineRule="auto"/>
              <w:rPr>
                <w:rFonts w:ascii="Arial" w:hAnsi="Arial" w:cs="Arial"/>
                <w:color w:val="0070C0"/>
                <w:sz w:val="20"/>
                <w:szCs w:val="20"/>
              </w:rPr>
            </w:pPr>
            <w:r>
              <w:rPr>
                <w:rFonts w:ascii="Arial" w:hAnsi="Arial" w:cs="Arial"/>
                <w:color w:val="0070C0"/>
                <w:sz w:val="20"/>
                <w:szCs w:val="20"/>
              </w:rPr>
              <w:t>One quarter of 2012-2013 school year.</w:t>
            </w:r>
          </w:p>
          <w:p w:rsidR="005316CD" w:rsidRPr="006B476C" w:rsidRDefault="005316CD" w:rsidP="00E10A04">
            <w:pPr>
              <w:spacing w:after="0" w:line="240" w:lineRule="auto"/>
              <w:rPr>
                <w:rFonts w:ascii="Arial" w:hAnsi="Arial" w:cs="Arial"/>
                <w:color w:val="0070C0"/>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86F87">
        <w:trPr>
          <w:trHeight w:val="952"/>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DB412A" w:rsidRDefault="00172656" w:rsidP="00DB412A">
            <w:pPr>
              <w:rPr>
                <w:rFonts w:ascii="Arial" w:hAnsi="Arial" w:cs="Arial"/>
                <w:color w:val="0070C0"/>
                <w:sz w:val="20"/>
                <w:szCs w:val="20"/>
              </w:rPr>
            </w:pPr>
            <w:r>
              <w:rPr>
                <w:rFonts w:ascii="Arial" w:hAnsi="Arial" w:cs="Arial"/>
                <w:color w:val="0070C0"/>
                <w:sz w:val="20"/>
                <w:szCs w:val="20"/>
              </w:rPr>
              <w:t xml:space="preserve">Baseline assessment:  Common Writing Prompt: Which skill described in the article, “7 </w:t>
            </w:r>
            <w:r w:rsidR="00CC31CD">
              <w:rPr>
                <w:rFonts w:ascii="Arial" w:hAnsi="Arial" w:cs="Arial"/>
                <w:color w:val="0070C0"/>
                <w:sz w:val="20"/>
                <w:szCs w:val="20"/>
              </w:rPr>
              <w:t xml:space="preserve">Computer </w:t>
            </w:r>
            <w:r w:rsidR="00F93E5B">
              <w:rPr>
                <w:rFonts w:ascii="Arial" w:hAnsi="Arial" w:cs="Arial"/>
                <w:color w:val="0070C0"/>
                <w:sz w:val="20"/>
                <w:szCs w:val="20"/>
              </w:rPr>
              <w:t>Skills You’ll Need for Success,” by</w:t>
            </w:r>
            <w:r w:rsidR="00CC31CD">
              <w:rPr>
                <w:rFonts w:ascii="Arial" w:hAnsi="Arial" w:cs="Arial"/>
                <w:color w:val="0070C0"/>
                <w:sz w:val="20"/>
                <w:szCs w:val="20"/>
              </w:rPr>
              <w:t xml:space="preserve"> </w:t>
            </w:r>
            <w:proofErr w:type="spellStart"/>
            <w:r w:rsidR="00CC31CD">
              <w:rPr>
                <w:rFonts w:ascii="Arial" w:hAnsi="Arial" w:cs="Arial"/>
                <w:color w:val="0070C0"/>
                <w:sz w:val="20"/>
                <w:szCs w:val="20"/>
              </w:rPr>
              <w:t>Tamekia</w:t>
            </w:r>
            <w:proofErr w:type="spellEnd"/>
            <w:r w:rsidR="00CC31CD">
              <w:rPr>
                <w:rFonts w:ascii="Arial" w:hAnsi="Arial" w:cs="Arial"/>
                <w:color w:val="0070C0"/>
                <w:sz w:val="20"/>
                <w:szCs w:val="20"/>
              </w:rPr>
              <w:t xml:space="preserve"> Reece, is one you could work to improve? How can you go about boosting your skills in that area? Plus 10 vocabulary comprehension questions.</w:t>
            </w:r>
            <w:r w:rsidR="00DB412A">
              <w:rPr>
                <w:rFonts w:ascii="Arial" w:hAnsi="Arial" w:cs="Arial"/>
                <w:color w:val="0070C0"/>
                <w:sz w:val="20"/>
                <w:szCs w:val="20"/>
              </w:rPr>
              <w:t xml:space="preserve"> The score will be determined in this way:</w:t>
            </w:r>
          </w:p>
          <w:p w:rsidR="00DB412A" w:rsidRPr="00DB412A" w:rsidRDefault="00DB412A" w:rsidP="00DB412A">
            <w:pPr>
              <w:pStyle w:val="ListParagraph"/>
              <w:numPr>
                <w:ilvl w:val="0"/>
                <w:numId w:val="4"/>
              </w:numPr>
              <w:rPr>
                <w:rFonts w:ascii="Arial" w:hAnsi="Arial" w:cs="Arial"/>
                <w:color w:val="0070C0"/>
                <w:sz w:val="20"/>
                <w:szCs w:val="20"/>
              </w:rPr>
            </w:pPr>
            <w:r w:rsidRPr="00DB412A">
              <w:rPr>
                <w:rFonts w:ascii="Arial" w:hAnsi="Arial" w:cs="Arial"/>
                <w:color w:val="0070C0"/>
                <w:sz w:val="20"/>
                <w:szCs w:val="20"/>
              </w:rPr>
              <w:t>Vocabulary – 20 points (10 words worth 2 points each)</w:t>
            </w:r>
          </w:p>
          <w:p w:rsidR="00DB412A" w:rsidRPr="00DB412A" w:rsidRDefault="00DB412A" w:rsidP="00DB412A">
            <w:pPr>
              <w:pStyle w:val="ListParagraph"/>
              <w:numPr>
                <w:ilvl w:val="0"/>
                <w:numId w:val="4"/>
              </w:numPr>
              <w:rPr>
                <w:rFonts w:ascii="Arial" w:hAnsi="Arial" w:cs="Arial"/>
                <w:color w:val="0070C0"/>
                <w:sz w:val="20"/>
                <w:szCs w:val="20"/>
              </w:rPr>
            </w:pPr>
            <w:r w:rsidRPr="00DB412A">
              <w:rPr>
                <w:rFonts w:ascii="Arial" w:hAnsi="Arial" w:cs="Arial"/>
                <w:color w:val="0070C0"/>
                <w:sz w:val="20"/>
                <w:szCs w:val="20"/>
              </w:rPr>
              <w:t>Writing – 40 points (State-wide writing rubric based on a 4 point scale for 5 elements &lt;doubled&gt;)</w:t>
            </w:r>
          </w:p>
          <w:p w:rsidR="005316CD" w:rsidRDefault="005316CD" w:rsidP="00906EA5">
            <w:pPr>
              <w:rPr>
                <w:rFonts w:ascii="Arial" w:hAnsi="Arial" w:cs="Arial"/>
                <w:color w:val="0070C0"/>
                <w:sz w:val="20"/>
                <w:szCs w:val="20"/>
              </w:rPr>
            </w:pPr>
          </w:p>
          <w:p w:rsidR="005316CD" w:rsidRPr="000551D7" w:rsidRDefault="00CC31CD" w:rsidP="00C311BF">
            <w:pPr>
              <w:rPr>
                <w:rFonts w:ascii="Arial" w:hAnsi="Arial" w:cs="Arial"/>
                <w:color w:val="000000"/>
                <w:sz w:val="20"/>
                <w:szCs w:val="20"/>
              </w:rPr>
            </w:pPr>
            <w:r>
              <w:rPr>
                <w:rFonts w:ascii="Arial" w:hAnsi="Arial" w:cs="Arial"/>
                <w:color w:val="0070C0"/>
                <w:sz w:val="20"/>
                <w:szCs w:val="20"/>
              </w:rPr>
              <w:t xml:space="preserve">Summative assessment: Common Writing Prompt: </w:t>
            </w:r>
            <w:r w:rsidR="000C6F52">
              <w:rPr>
                <w:rFonts w:ascii="Arial" w:hAnsi="Arial" w:cs="Arial"/>
                <w:color w:val="0070C0"/>
                <w:sz w:val="20"/>
                <w:szCs w:val="20"/>
              </w:rPr>
              <w:t>In the article, “Look to the Future”, by Betsy O’Donovan, one expert makes the point that jobs that we can’t even imagine now will exist in the future. What jobs do you think are just starting to take shape now, and what has led to their creation? Plus 10 vocabulary comprehension questions.</w:t>
            </w:r>
            <w:r w:rsidR="00DB412A">
              <w:rPr>
                <w:rFonts w:ascii="Arial" w:hAnsi="Arial" w:cs="Arial"/>
                <w:color w:val="0070C0"/>
                <w:sz w:val="20"/>
                <w:szCs w:val="20"/>
              </w:rPr>
              <w:t xml:space="preserve"> The score will be determined in the same way.</w:t>
            </w:r>
          </w:p>
        </w:tc>
      </w:tr>
      <w:tr w:rsidR="005316CD" w:rsidRPr="00292D85" w:rsidTr="00986F87">
        <w:trPr>
          <w:trHeight w:val="1104"/>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Baseline</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5316CD" w:rsidRPr="00DB412A" w:rsidRDefault="00DB412A" w:rsidP="00DB412A">
            <w:pPr>
              <w:rPr>
                <w:rFonts w:ascii="Arial" w:hAnsi="Arial" w:cs="Arial"/>
                <w:color w:val="0070C0"/>
                <w:sz w:val="20"/>
                <w:szCs w:val="20"/>
              </w:rPr>
            </w:pPr>
            <w:r>
              <w:rPr>
                <w:rFonts w:ascii="Arial" w:hAnsi="Arial" w:cs="Arial"/>
                <w:color w:val="0070C0"/>
                <w:sz w:val="20"/>
                <w:szCs w:val="20"/>
              </w:rPr>
              <w:t>50% of students s</w:t>
            </w:r>
            <w:r w:rsidR="000C6F52">
              <w:rPr>
                <w:rFonts w:ascii="Arial" w:hAnsi="Arial" w:cs="Arial"/>
                <w:color w:val="0070C0"/>
                <w:sz w:val="20"/>
                <w:szCs w:val="20"/>
              </w:rPr>
              <w:t>core</w:t>
            </w:r>
            <w:r>
              <w:rPr>
                <w:rFonts w:ascii="Arial" w:hAnsi="Arial" w:cs="Arial"/>
                <w:color w:val="0070C0"/>
                <w:sz w:val="20"/>
                <w:szCs w:val="20"/>
              </w:rPr>
              <w:t>d</w:t>
            </w:r>
            <w:r w:rsidR="000C6F52">
              <w:rPr>
                <w:rFonts w:ascii="Arial" w:hAnsi="Arial" w:cs="Arial"/>
                <w:color w:val="0070C0"/>
                <w:sz w:val="20"/>
                <w:szCs w:val="20"/>
              </w:rPr>
              <w:t xml:space="preserve"> 40 points or higher on the Baseline assessment (out of a possible 60 points) us</w:t>
            </w:r>
            <w:r>
              <w:rPr>
                <w:rFonts w:ascii="Arial" w:hAnsi="Arial" w:cs="Arial"/>
                <w:color w:val="0070C0"/>
                <w:sz w:val="20"/>
                <w:szCs w:val="20"/>
              </w:rPr>
              <w:t>ing the following rating scales; 10% scored higher than 55%</w:t>
            </w:r>
          </w:p>
        </w:tc>
      </w:tr>
      <w:tr w:rsidR="005316CD" w:rsidRPr="00292D85" w:rsidTr="00986F87">
        <w:trPr>
          <w:trHeight w:val="858"/>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Default="00DB412A" w:rsidP="00736D27">
            <w:pPr>
              <w:rPr>
                <w:rFonts w:ascii="Arial" w:hAnsi="Arial" w:cs="Arial"/>
                <w:color w:val="0070C0"/>
                <w:sz w:val="20"/>
                <w:szCs w:val="20"/>
              </w:rPr>
            </w:pPr>
            <w:r>
              <w:rPr>
                <w:rFonts w:ascii="Arial" w:hAnsi="Arial" w:cs="Arial"/>
                <w:color w:val="0070C0"/>
                <w:sz w:val="20"/>
                <w:szCs w:val="20"/>
              </w:rPr>
              <w:t>75</w:t>
            </w:r>
            <w:r w:rsidR="000C6F52">
              <w:rPr>
                <w:rFonts w:ascii="Arial" w:hAnsi="Arial" w:cs="Arial"/>
                <w:color w:val="0070C0"/>
                <w:sz w:val="20"/>
                <w:szCs w:val="20"/>
              </w:rPr>
              <w:t>% of students will score 50 points or higher on the Summative assessment (out of a possible 60 points)</w:t>
            </w:r>
          </w:p>
          <w:p w:rsidR="005316CD" w:rsidRPr="00292D85" w:rsidRDefault="000C6F52" w:rsidP="000C6F52">
            <w:pPr>
              <w:rPr>
                <w:i/>
                <w:sz w:val="20"/>
                <w:szCs w:val="20"/>
              </w:rPr>
            </w:pPr>
            <w:r>
              <w:rPr>
                <w:rFonts w:ascii="Arial" w:hAnsi="Arial" w:cs="Arial"/>
                <w:color w:val="0070C0"/>
                <w:sz w:val="20"/>
                <w:szCs w:val="20"/>
              </w:rPr>
              <w:t xml:space="preserve">The same scoring system will be </w:t>
            </w:r>
            <w:r w:rsidR="00DB412A">
              <w:rPr>
                <w:rFonts w:ascii="Arial" w:hAnsi="Arial" w:cs="Arial"/>
                <w:color w:val="0070C0"/>
                <w:sz w:val="20"/>
                <w:szCs w:val="20"/>
              </w:rPr>
              <w:t>used in both assessments</w:t>
            </w:r>
          </w:p>
        </w:tc>
      </w:tr>
      <w:tr w:rsidR="005316CD" w:rsidRPr="00292D85" w:rsidTr="00986F87">
        <w:trPr>
          <w:trHeight w:val="858"/>
        </w:trPr>
        <w:tc>
          <w:tcPr>
            <w:tcW w:w="2265"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5316CD" w:rsidRPr="00E10A04" w:rsidRDefault="000C6F52" w:rsidP="00C311BF">
            <w:pPr>
              <w:rPr>
                <w:rFonts w:ascii="Arial" w:hAnsi="Arial" w:cs="Arial"/>
                <w:color w:val="000000"/>
                <w:sz w:val="20"/>
                <w:szCs w:val="20"/>
              </w:rPr>
            </w:pPr>
            <w:r>
              <w:rPr>
                <w:color w:val="0070C0"/>
                <w:sz w:val="20"/>
                <w:szCs w:val="20"/>
              </w:rPr>
              <w:t>See ranges as specified.</w:t>
            </w:r>
          </w:p>
        </w:tc>
      </w:tr>
      <w:tr w:rsidR="005316CD" w:rsidRPr="00292D85" w:rsidTr="00986F87">
        <w:trPr>
          <w:trHeight w:val="551"/>
        </w:trPr>
        <w:tc>
          <w:tcPr>
            <w:tcW w:w="2265"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563"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6F87">
        <w:trPr>
          <w:trHeight w:val="551"/>
        </w:trPr>
        <w:tc>
          <w:tcPr>
            <w:tcW w:w="2265"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377"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5316CD" w:rsidRPr="00292D85" w:rsidTr="00986F87">
        <w:trPr>
          <w:trHeight w:val="551"/>
        </w:trPr>
        <w:tc>
          <w:tcPr>
            <w:tcW w:w="2265"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377" w:type="dxa"/>
            <w:tcBorders>
              <w:top w:val="single" w:sz="18" w:space="0" w:color="auto"/>
              <w:left w:val="single" w:sz="18" w:space="0" w:color="auto"/>
              <w:bottom w:val="single" w:sz="18" w:space="0" w:color="auto"/>
              <w:right w:val="single" w:sz="18" w:space="0" w:color="auto"/>
            </w:tcBorders>
            <w:vAlign w:val="center"/>
          </w:tcPr>
          <w:p w:rsidR="005316CD" w:rsidRPr="00E10A04" w:rsidRDefault="00986F87" w:rsidP="00572BA7">
            <w:pPr>
              <w:spacing w:after="0" w:line="240" w:lineRule="auto"/>
              <w:jc w:val="center"/>
              <w:rPr>
                <w:rFonts w:ascii="Arial" w:hAnsi="Arial" w:cs="Arial"/>
                <w:color w:val="000000"/>
                <w:sz w:val="18"/>
                <w:szCs w:val="20"/>
              </w:rPr>
            </w:pPr>
            <w:r w:rsidRPr="00986F87">
              <w:rPr>
                <w:rFonts w:ascii="Arial" w:hAnsi="Arial" w:cs="Arial"/>
                <w:color w:val="000000"/>
                <w:sz w:val="12"/>
                <w:szCs w:val="20"/>
              </w:rPr>
              <w:t>9</w:t>
            </w:r>
            <w:r w:rsidR="00572BA7">
              <w:rPr>
                <w:rFonts w:ascii="Arial" w:hAnsi="Arial" w:cs="Arial"/>
                <w:color w:val="000000"/>
                <w:sz w:val="12"/>
                <w:szCs w:val="20"/>
              </w:rPr>
              <w:t>8</w:t>
            </w:r>
            <w:r w:rsidRPr="00986F87">
              <w:rPr>
                <w:rFonts w:ascii="Arial" w:hAnsi="Arial" w:cs="Arial"/>
                <w:color w:val="000000"/>
                <w:sz w:val="12"/>
                <w:szCs w:val="20"/>
              </w:rPr>
              <w:t>-100%</w:t>
            </w:r>
            <w:r w:rsidR="005316CD" w:rsidRPr="00986F87">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1437F8" w:rsidP="00572BA7">
            <w:pPr>
              <w:spacing w:after="0" w:line="240" w:lineRule="auto"/>
              <w:jc w:val="center"/>
              <w:rPr>
                <w:rFonts w:ascii="Arial" w:hAnsi="Arial" w:cs="Arial"/>
                <w:color w:val="000000"/>
                <w:sz w:val="18"/>
                <w:szCs w:val="20"/>
              </w:rPr>
            </w:pPr>
            <w:r>
              <w:rPr>
                <w:rFonts w:ascii="Arial" w:hAnsi="Arial" w:cs="Arial"/>
                <w:color w:val="000000"/>
                <w:sz w:val="18"/>
                <w:szCs w:val="20"/>
              </w:rPr>
              <w:t>9</w:t>
            </w:r>
            <w:r w:rsidR="00572BA7">
              <w:rPr>
                <w:rFonts w:ascii="Arial" w:hAnsi="Arial" w:cs="Arial"/>
                <w:color w:val="000000"/>
                <w:sz w:val="18"/>
                <w:szCs w:val="20"/>
              </w:rPr>
              <w:t>4</w:t>
            </w:r>
            <w:r>
              <w:rPr>
                <w:rFonts w:ascii="Arial" w:hAnsi="Arial" w:cs="Arial"/>
                <w:color w:val="000000"/>
                <w:sz w:val="18"/>
                <w:szCs w:val="20"/>
              </w:rPr>
              <w:t>-9</w:t>
            </w:r>
            <w:r w:rsidR="00572BA7">
              <w:rPr>
                <w:rFonts w:ascii="Arial" w:hAnsi="Arial" w:cs="Arial"/>
                <w:color w:val="000000"/>
                <w:sz w:val="18"/>
                <w:szCs w:val="20"/>
              </w:rPr>
              <w:t>7</w:t>
            </w:r>
            <w:r>
              <w:rPr>
                <w:rFonts w:ascii="Arial" w:hAnsi="Arial" w:cs="Arial"/>
                <w:color w:val="000000"/>
                <w:sz w:val="18"/>
                <w:szCs w:val="20"/>
              </w:rPr>
              <w:t>%</w:t>
            </w:r>
            <w:r w:rsidR="005316CD">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1437F8" w:rsidP="00572BA7">
            <w:pPr>
              <w:spacing w:after="0" w:line="240" w:lineRule="auto"/>
              <w:jc w:val="center"/>
              <w:rPr>
                <w:rFonts w:ascii="Arial" w:hAnsi="Arial" w:cs="Arial"/>
                <w:color w:val="000000"/>
                <w:sz w:val="18"/>
                <w:szCs w:val="20"/>
              </w:rPr>
            </w:pPr>
            <w:r>
              <w:rPr>
                <w:rFonts w:ascii="Arial" w:hAnsi="Arial" w:cs="Arial"/>
                <w:color w:val="000000"/>
                <w:sz w:val="18"/>
                <w:szCs w:val="20"/>
              </w:rPr>
              <w:t>90-9</w:t>
            </w:r>
            <w:r w:rsidR="00572BA7">
              <w:rPr>
                <w:rFonts w:ascii="Arial" w:hAnsi="Arial" w:cs="Arial"/>
                <w:color w:val="000000"/>
                <w:sz w:val="18"/>
                <w:szCs w:val="20"/>
              </w:rPr>
              <w:t>3</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572BA7" w:rsidP="002364E7">
            <w:pPr>
              <w:spacing w:after="0" w:line="240" w:lineRule="auto"/>
              <w:jc w:val="center"/>
              <w:rPr>
                <w:rFonts w:ascii="Arial" w:hAnsi="Arial" w:cs="Arial"/>
                <w:color w:val="000000"/>
                <w:sz w:val="18"/>
                <w:szCs w:val="20"/>
              </w:rPr>
            </w:pPr>
            <w:r>
              <w:rPr>
                <w:rFonts w:ascii="Arial" w:hAnsi="Arial" w:cs="Arial"/>
                <w:color w:val="000000"/>
                <w:sz w:val="18"/>
                <w:szCs w:val="20"/>
              </w:rPr>
              <w:t>8</w:t>
            </w:r>
            <w:r w:rsidR="007E5970">
              <w:rPr>
                <w:rFonts w:ascii="Arial" w:hAnsi="Arial" w:cs="Arial"/>
                <w:color w:val="000000"/>
                <w:sz w:val="18"/>
                <w:szCs w:val="20"/>
              </w:rPr>
              <w:t>7</w:t>
            </w:r>
            <w:r w:rsidR="00986F87">
              <w:rPr>
                <w:rFonts w:ascii="Arial" w:hAnsi="Arial" w:cs="Arial"/>
                <w:color w:val="000000"/>
                <w:sz w:val="18"/>
                <w:szCs w:val="20"/>
              </w:rPr>
              <w:t>-</w:t>
            </w:r>
            <w:r>
              <w:rPr>
                <w:rFonts w:ascii="Arial" w:hAnsi="Arial" w:cs="Arial"/>
                <w:color w:val="000000"/>
                <w:sz w:val="18"/>
                <w:szCs w:val="20"/>
              </w:rPr>
              <w:t>89</w:t>
            </w:r>
            <w:r w:rsidR="00986F87">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986F87" w:rsidP="007E5970">
            <w:pPr>
              <w:spacing w:after="0" w:line="240" w:lineRule="auto"/>
              <w:jc w:val="center"/>
              <w:rPr>
                <w:rFonts w:ascii="Arial" w:hAnsi="Arial" w:cs="Arial"/>
                <w:color w:val="000000"/>
                <w:sz w:val="18"/>
                <w:szCs w:val="20"/>
              </w:rPr>
            </w:pPr>
            <w:r>
              <w:rPr>
                <w:rFonts w:ascii="Arial" w:hAnsi="Arial" w:cs="Arial"/>
                <w:color w:val="000000"/>
                <w:sz w:val="18"/>
                <w:szCs w:val="20"/>
              </w:rPr>
              <w:t>8</w:t>
            </w:r>
            <w:r w:rsidR="007E5970">
              <w:rPr>
                <w:rFonts w:ascii="Arial" w:hAnsi="Arial" w:cs="Arial"/>
                <w:color w:val="000000"/>
                <w:sz w:val="18"/>
                <w:szCs w:val="20"/>
              </w:rPr>
              <w:t>4</w:t>
            </w:r>
            <w:r>
              <w:rPr>
                <w:rFonts w:ascii="Arial" w:hAnsi="Arial" w:cs="Arial"/>
                <w:color w:val="000000"/>
                <w:sz w:val="18"/>
                <w:szCs w:val="20"/>
              </w:rPr>
              <w:t>-</w:t>
            </w:r>
            <w:r w:rsidR="00572BA7">
              <w:rPr>
                <w:rFonts w:ascii="Arial" w:hAnsi="Arial" w:cs="Arial"/>
                <w:color w:val="000000"/>
                <w:sz w:val="18"/>
                <w:szCs w:val="20"/>
              </w:rPr>
              <w:t>8</w:t>
            </w:r>
            <w:r w:rsidR="00BB7765">
              <w:rPr>
                <w:rFonts w:ascii="Arial" w:hAnsi="Arial" w:cs="Arial"/>
                <w:color w:val="000000"/>
                <w:sz w:val="18"/>
                <w:szCs w:val="20"/>
              </w:rPr>
              <w:t>6</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1437F8" w:rsidP="00572BA7">
            <w:pPr>
              <w:spacing w:after="0" w:line="240" w:lineRule="auto"/>
              <w:jc w:val="center"/>
              <w:rPr>
                <w:rFonts w:ascii="Arial" w:hAnsi="Arial" w:cs="Arial"/>
                <w:color w:val="000000"/>
                <w:sz w:val="18"/>
                <w:szCs w:val="20"/>
              </w:rPr>
            </w:pPr>
            <w:r>
              <w:rPr>
                <w:rFonts w:ascii="Arial" w:hAnsi="Arial" w:cs="Arial"/>
                <w:color w:val="000000"/>
                <w:sz w:val="18"/>
                <w:szCs w:val="20"/>
              </w:rPr>
              <w:t>8</w:t>
            </w:r>
            <w:r w:rsidR="00572BA7">
              <w:rPr>
                <w:rFonts w:ascii="Arial" w:hAnsi="Arial" w:cs="Arial"/>
                <w:color w:val="000000"/>
                <w:sz w:val="18"/>
                <w:szCs w:val="20"/>
              </w:rPr>
              <w:t>1</w:t>
            </w:r>
            <w:r>
              <w:rPr>
                <w:rFonts w:ascii="Arial" w:hAnsi="Arial" w:cs="Arial"/>
                <w:color w:val="000000"/>
                <w:sz w:val="18"/>
                <w:szCs w:val="20"/>
              </w:rPr>
              <w:t>-8</w:t>
            </w:r>
            <w:r w:rsidR="007E5970">
              <w:rPr>
                <w:rFonts w:ascii="Arial" w:hAnsi="Arial" w:cs="Arial"/>
                <w:color w:val="000000"/>
                <w:sz w:val="18"/>
                <w:szCs w:val="20"/>
              </w:rPr>
              <w:t>3</w:t>
            </w:r>
            <w:r>
              <w:rPr>
                <w:rFonts w:ascii="Arial" w:hAnsi="Arial" w:cs="Arial"/>
                <w:color w:val="000000"/>
                <w:sz w:val="18"/>
                <w:szCs w:val="20"/>
              </w:rPr>
              <w:t>%</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E10A04" w:rsidRDefault="00572BA7" w:rsidP="00572BA7">
            <w:pPr>
              <w:spacing w:after="0" w:line="240" w:lineRule="auto"/>
              <w:jc w:val="center"/>
              <w:rPr>
                <w:rFonts w:ascii="Arial" w:hAnsi="Arial" w:cs="Arial"/>
                <w:color w:val="000000"/>
                <w:sz w:val="18"/>
                <w:szCs w:val="20"/>
              </w:rPr>
            </w:pPr>
            <w:r>
              <w:rPr>
                <w:rFonts w:ascii="Arial" w:hAnsi="Arial" w:cs="Arial"/>
                <w:color w:val="000000"/>
                <w:sz w:val="18"/>
                <w:szCs w:val="20"/>
              </w:rPr>
              <w:t>78</w:t>
            </w:r>
            <w:r w:rsidR="001437F8">
              <w:rPr>
                <w:rFonts w:ascii="Arial" w:hAnsi="Arial" w:cs="Arial"/>
                <w:color w:val="000000"/>
                <w:sz w:val="18"/>
                <w:szCs w:val="20"/>
              </w:rPr>
              <w:t>-8</w:t>
            </w:r>
            <w:r>
              <w:rPr>
                <w:rFonts w:ascii="Arial" w:hAnsi="Arial" w:cs="Arial"/>
                <w:color w:val="000000"/>
                <w:sz w:val="18"/>
                <w:szCs w:val="20"/>
              </w:rPr>
              <w:t>0</w:t>
            </w:r>
            <w:r w:rsidR="001437F8">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1437F8" w:rsidP="00572BA7">
            <w:pPr>
              <w:spacing w:after="0" w:line="240" w:lineRule="auto"/>
              <w:jc w:val="center"/>
              <w:rPr>
                <w:rFonts w:ascii="Arial" w:hAnsi="Arial" w:cs="Arial"/>
                <w:color w:val="000000"/>
                <w:sz w:val="18"/>
                <w:szCs w:val="20"/>
              </w:rPr>
            </w:pPr>
            <w:r>
              <w:rPr>
                <w:rFonts w:ascii="Arial" w:hAnsi="Arial" w:cs="Arial"/>
                <w:color w:val="000000"/>
                <w:sz w:val="18"/>
                <w:szCs w:val="20"/>
              </w:rPr>
              <w:t>75-7</w:t>
            </w:r>
            <w:r w:rsidR="00572BA7">
              <w:rPr>
                <w:rFonts w:ascii="Arial" w:hAnsi="Arial" w:cs="Arial"/>
                <w:color w:val="000000"/>
                <w:sz w:val="18"/>
                <w:szCs w:val="20"/>
              </w:rPr>
              <w:t>7</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1437F8" w:rsidP="00E10A04">
            <w:pPr>
              <w:spacing w:after="0" w:line="240" w:lineRule="auto"/>
              <w:jc w:val="center"/>
              <w:rPr>
                <w:rFonts w:ascii="Arial" w:hAnsi="Arial" w:cs="Arial"/>
                <w:color w:val="000000"/>
                <w:sz w:val="18"/>
                <w:szCs w:val="20"/>
              </w:rPr>
            </w:pPr>
            <w:r>
              <w:rPr>
                <w:rFonts w:ascii="Arial" w:hAnsi="Arial" w:cs="Arial"/>
                <w:color w:val="000000"/>
                <w:sz w:val="18"/>
                <w:szCs w:val="20"/>
              </w:rPr>
              <w:t>71-74%</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7E5970" w:rsidP="00E10A04">
            <w:pPr>
              <w:spacing w:after="0" w:line="240" w:lineRule="auto"/>
              <w:jc w:val="center"/>
              <w:rPr>
                <w:rFonts w:ascii="Arial" w:hAnsi="Arial" w:cs="Arial"/>
                <w:color w:val="000000"/>
                <w:sz w:val="18"/>
                <w:szCs w:val="20"/>
              </w:rPr>
            </w:pPr>
            <w:r>
              <w:rPr>
                <w:rFonts w:ascii="Arial" w:hAnsi="Arial" w:cs="Arial"/>
                <w:color w:val="000000"/>
                <w:sz w:val="18"/>
                <w:szCs w:val="20"/>
              </w:rPr>
              <w:t>67-70</w:t>
            </w:r>
            <w:r w:rsidR="00986F87">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7E5970" w:rsidP="00E10A04">
            <w:pPr>
              <w:spacing w:after="0" w:line="240" w:lineRule="auto"/>
              <w:jc w:val="center"/>
              <w:rPr>
                <w:rFonts w:ascii="Arial" w:hAnsi="Arial" w:cs="Arial"/>
                <w:color w:val="000000"/>
                <w:sz w:val="18"/>
                <w:szCs w:val="20"/>
              </w:rPr>
            </w:pPr>
            <w:r>
              <w:rPr>
                <w:rFonts w:ascii="Arial" w:hAnsi="Arial" w:cs="Arial"/>
                <w:color w:val="000000"/>
                <w:sz w:val="18"/>
                <w:szCs w:val="20"/>
              </w:rPr>
              <w:t>63-66</w:t>
            </w:r>
            <w:r w:rsidR="00986F87">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7E5970" w:rsidP="00E10A04">
            <w:pPr>
              <w:spacing w:after="0" w:line="240" w:lineRule="auto"/>
              <w:jc w:val="center"/>
              <w:rPr>
                <w:rFonts w:ascii="Arial" w:hAnsi="Arial" w:cs="Arial"/>
                <w:color w:val="000000"/>
                <w:sz w:val="18"/>
                <w:szCs w:val="20"/>
              </w:rPr>
            </w:pPr>
            <w:r>
              <w:rPr>
                <w:rFonts w:ascii="Arial" w:hAnsi="Arial" w:cs="Arial"/>
                <w:color w:val="000000"/>
                <w:sz w:val="18"/>
                <w:szCs w:val="20"/>
              </w:rPr>
              <w:t>59-62</w:t>
            </w:r>
            <w:r w:rsidR="00986F87">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7E5970" w:rsidP="00E10A04">
            <w:pPr>
              <w:spacing w:after="0" w:line="240" w:lineRule="auto"/>
              <w:jc w:val="center"/>
              <w:rPr>
                <w:rFonts w:ascii="Arial" w:hAnsi="Arial" w:cs="Arial"/>
                <w:color w:val="000000"/>
                <w:sz w:val="18"/>
                <w:szCs w:val="20"/>
              </w:rPr>
            </w:pPr>
            <w:r>
              <w:rPr>
                <w:rFonts w:ascii="Arial" w:hAnsi="Arial" w:cs="Arial"/>
                <w:color w:val="000000"/>
                <w:sz w:val="18"/>
                <w:szCs w:val="20"/>
              </w:rPr>
              <w:t>55-58</w:t>
            </w:r>
            <w:r w:rsidR="00986F87">
              <w:rPr>
                <w:rFonts w:ascii="Arial" w:hAnsi="Arial" w:cs="Arial"/>
                <w:color w:val="000000"/>
                <w:sz w:val="18"/>
                <w:szCs w:val="20"/>
              </w:rPr>
              <w:t>%</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E10A04" w:rsidRDefault="007E5970" w:rsidP="00E10A04">
            <w:pPr>
              <w:spacing w:after="0" w:line="240" w:lineRule="auto"/>
              <w:jc w:val="center"/>
              <w:rPr>
                <w:rFonts w:ascii="Arial" w:hAnsi="Arial" w:cs="Arial"/>
                <w:color w:val="000000"/>
                <w:sz w:val="18"/>
                <w:szCs w:val="20"/>
              </w:rPr>
            </w:pPr>
            <w:r>
              <w:rPr>
                <w:rFonts w:ascii="Arial" w:hAnsi="Arial" w:cs="Arial"/>
                <w:color w:val="000000"/>
                <w:sz w:val="18"/>
                <w:szCs w:val="20"/>
              </w:rPr>
              <w:t>51-54</w:t>
            </w:r>
            <w:r w:rsidR="00986F87">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7E5970" w:rsidP="00E10A04">
            <w:pPr>
              <w:spacing w:after="0" w:line="240" w:lineRule="auto"/>
              <w:jc w:val="center"/>
              <w:rPr>
                <w:rFonts w:ascii="Arial" w:hAnsi="Arial" w:cs="Arial"/>
                <w:color w:val="000000"/>
                <w:sz w:val="18"/>
                <w:szCs w:val="28"/>
              </w:rPr>
            </w:pPr>
            <w:r>
              <w:rPr>
                <w:rFonts w:ascii="Arial" w:hAnsi="Arial" w:cs="Arial"/>
                <w:color w:val="000000"/>
                <w:sz w:val="18"/>
                <w:szCs w:val="28"/>
              </w:rPr>
              <w:t>47-50</w:t>
            </w:r>
            <w:r w:rsidR="00986F87">
              <w:rPr>
                <w:rFonts w:ascii="Arial" w:hAnsi="Arial" w:cs="Arial"/>
                <w:color w:val="000000"/>
                <w:sz w:val="18"/>
                <w:szCs w:val="2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7E5970" w:rsidP="00E10A04">
            <w:pPr>
              <w:spacing w:after="0" w:line="240" w:lineRule="auto"/>
              <w:jc w:val="center"/>
              <w:rPr>
                <w:rFonts w:ascii="Arial" w:hAnsi="Arial" w:cs="Arial"/>
                <w:color w:val="000000"/>
                <w:sz w:val="18"/>
                <w:szCs w:val="28"/>
              </w:rPr>
            </w:pPr>
            <w:r>
              <w:rPr>
                <w:rFonts w:ascii="Arial" w:hAnsi="Arial" w:cs="Arial"/>
                <w:color w:val="000000"/>
                <w:sz w:val="18"/>
                <w:szCs w:val="28"/>
              </w:rPr>
              <w:t>43-4</w:t>
            </w:r>
            <w:r w:rsidR="00986F87">
              <w:rPr>
                <w:rFonts w:ascii="Arial" w:hAnsi="Arial" w:cs="Arial"/>
                <w:color w:val="000000"/>
                <w:sz w:val="18"/>
                <w:szCs w:val="28"/>
              </w:rPr>
              <w:t>6%</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7E5970" w:rsidP="00E10A04">
            <w:pPr>
              <w:spacing w:after="0" w:line="240" w:lineRule="auto"/>
              <w:jc w:val="center"/>
              <w:rPr>
                <w:rFonts w:ascii="Arial" w:hAnsi="Arial" w:cs="Arial"/>
                <w:color w:val="000000"/>
                <w:sz w:val="18"/>
                <w:szCs w:val="28"/>
              </w:rPr>
            </w:pPr>
            <w:r>
              <w:rPr>
                <w:rFonts w:ascii="Arial" w:hAnsi="Arial" w:cs="Arial"/>
                <w:color w:val="000000"/>
                <w:sz w:val="18"/>
                <w:szCs w:val="28"/>
              </w:rPr>
              <w:t>39-4</w:t>
            </w:r>
            <w:r w:rsidR="00986F87">
              <w:rPr>
                <w:rFonts w:ascii="Arial" w:hAnsi="Arial" w:cs="Arial"/>
                <w:color w:val="000000"/>
                <w:sz w:val="18"/>
                <w:szCs w:val="28"/>
              </w:rPr>
              <w:t>2%</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7E5970" w:rsidP="00E10A04">
            <w:pPr>
              <w:spacing w:after="0" w:line="240" w:lineRule="auto"/>
              <w:jc w:val="center"/>
              <w:rPr>
                <w:rFonts w:ascii="Arial" w:hAnsi="Arial" w:cs="Arial"/>
                <w:color w:val="000000"/>
                <w:sz w:val="18"/>
                <w:szCs w:val="28"/>
              </w:rPr>
            </w:pPr>
            <w:r>
              <w:rPr>
                <w:rFonts w:ascii="Arial" w:hAnsi="Arial" w:cs="Arial"/>
                <w:color w:val="000000"/>
                <w:sz w:val="18"/>
                <w:szCs w:val="28"/>
              </w:rPr>
              <w:t>36-3</w:t>
            </w:r>
            <w:r w:rsidR="00986F87">
              <w:rPr>
                <w:rFonts w:ascii="Arial" w:hAnsi="Arial" w:cs="Arial"/>
                <w:color w:val="000000"/>
                <w:sz w:val="18"/>
                <w:szCs w:val="28"/>
              </w:rPr>
              <w:t>8%</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7E5970" w:rsidP="007E5970">
            <w:pPr>
              <w:spacing w:after="0" w:line="240" w:lineRule="auto"/>
              <w:rPr>
                <w:rFonts w:ascii="Arial" w:hAnsi="Arial" w:cs="Arial"/>
                <w:color w:val="000000"/>
                <w:sz w:val="18"/>
                <w:szCs w:val="28"/>
              </w:rPr>
            </w:pPr>
            <w:r>
              <w:rPr>
                <w:rFonts w:ascii="Arial" w:hAnsi="Arial" w:cs="Arial"/>
                <w:color w:val="000000"/>
                <w:sz w:val="18"/>
                <w:szCs w:val="28"/>
              </w:rPr>
              <w:t>33-35</w:t>
            </w:r>
            <w:r w:rsidR="00986F87">
              <w:rPr>
                <w:rFonts w:ascii="Arial" w:hAnsi="Arial" w:cs="Arial"/>
                <w:color w:val="000000"/>
                <w:sz w:val="18"/>
                <w:szCs w:val="2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7E5970" w:rsidP="00E10A04">
            <w:pPr>
              <w:spacing w:after="0" w:line="240" w:lineRule="auto"/>
              <w:jc w:val="center"/>
              <w:rPr>
                <w:rFonts w:ascii="Arial" w:hAnsi="Arial" w:cs="Arial"/>
                <w:color w:val="000000"/>
                <w:sz w:val="18"/>
                <w:szCs w:val="28"/>
              </w:rPr>
            </w:pPr>
            <w:r>
              <w:rPr>
                <w:rFonts w:ascii="Arial" w:hAnsi="Arial" w:cs="Arial"/>
                <w:color w:val="000000"/>
                <w:sz w:val="18"/>
                <w:szCs w:val="28"/>
              </w:rPr>
              <w:t>30-32</w:t>
            </w:r>
            <w:r w:rsidR="00986F87">
              <w:rPr>
                <w:rFonts w:ascii="Arial" w:hAnsi="Arial" w:cs="Arial"/>
                <w:color w:val="000000"/>
                <w:sz w:val="18"/>
                <w:szCs w:val="28"/>
              </w:rPr>
              <w:t>%</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E10A04" w:rsidRDefault="00986F87" w:rsidP="00E10A04">
            <w:pPr>
              <w:spacing w:after="0" w:line="240" w:lineRule="auto"/>
              <w:jc w:val="center"/>
              <w:rPr>
                <w:rFonts w:ascii="Arial" w:hAnsi="Arial" w:cs="Arial"/>
                <w:color w:val="000000"/>
                <w:sz w:val="18"/>
                <w:szCs w:val="28"/>
              </w:rPr>
            </w:pPr>
            <w:r>
              <w:rPr>
                <w:rFonts w:ascii="Arial" w:hAnsi="Arial" w:cs="Arial"/>
                <w:color w:val="000000"/>
                <w:sz w:val="18"/>
                <w:szCs w:val="28"/>
              </w:rPr>
              <w:t>&lt;30%</w:t>
            </w:r>
          </w:p>
        </w:tc>
      </w:tr>
      <w:tr w:rsidR="005316CD" w:rsidRPr="00292D85" w:rsidTr="00DB412A">
        <w:trPr>
          <w:trHeight w:val="1035"/>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Default="00986F87" w:rsidP="00906EA5">
            <w:pPr>
              <w:rPr>
                <w:rFonts w:ascii="Arial" w:hAnsi="Arial" w:cs="Arial"/>
                <w:color w:val="0070C0"/>
                <w:sz w:val="20"/>
                <w:szCs w:val="20"/>
              </w:rPr>
            </w:pPr>
            <w:r>
              <w:rPr>
                <w:rFonts w:ascii="Arial" w:hAnsi="Arial" w:cs="Arial"/>
                <w:color w:val="0070C0"/>
                <w:sz w:val="20"/>
                <w:szCs w:val="20"/>
              </w:rPr>
              <w:t>The learning content is based on the Reading #8 and Writing #9 CCLS standards in Social Studies, Science and the Technical Subjects.</w:t>
            </w:r>
          </w:p>
          <w:p w:rsidR="005316CD" w:rsidRDefault="007B5111" w:rsidP="00906EA5">
            <w:pPr>
              <w:rPr>
                <w:rFonts w:ascii="Arial" w:hAnsi="Arial" w:cs="Arial"/>
                <w:color w:val="0070C0"/>
                <w:sz w:val="20"/>
                <w:szCs w:val="20"/>
              </w:rPr>
            </w:pPr>
            <w:r>
              <w:rPr>
                <w:rFonts w:ascii="Arial" w:hAnsi="Arial" w:cs="Arial"/>
                <w:color w:val="0070C0"/>
                <w:sz w:val="20"/>
                <w:szCs w:val="20"/>
              </w:rPr>
              <w:t>Additionally, it aligns with National CDOS standards #1 and #4.</w:t>
            </w:r>
          </w:p>
          <w:p w:rsidR="005316CD" w:rsidRPr="00E10A04" w:rsidRDefault="00861DDC" w:rsidP="00C311BF">
            <w:pPr>
              <w:rPr>
                <w:rFonts w:ascii="Arial" w:hAnsi="Arial" w:cs="Arial"/>
                <w:color w:val="000000"/>
                <w:sz w:val="20"/>
                <w:szCs w:val="20"/>
              </w:rPr>
            </w:pPr>
            <w:r>
              <w:rPr>
                <w:rFonts w:ascii="Arial" w:hAnsi="Arial" w:cs="Arial"/>
                <w:color w:val="0070C0"/>
                <w:sz w:val="20"/>
                <w:szCs w:val="20"/>
              </w:rPr>
              <w:t xml:space="preserve">The Career Exploration topic is covered in grades 6 thru 8. As students progress through the three-year program their skill base will expand and they will gain content knowledge regarding careers as well as reading and writing fluency. The Baseline assessment targets </w:t>
            </w:r>
            <w:r>
              <w:rPr>
                <w:rFonts w:ascii="Arial" w:hAnsi="Arial" w:cs="Arial"/>
                <w:color w:val="0070C0"/>
                <w:sz w:val="20"/>
                <w:szCs w:val="20"/>
              </w:rPr>
              <w:lastRenderedPageBreak/>
              <w:t>career readiness skills which are covered in 6</w:t>
            </w:r>
            <w:r w:rsidRPr="00861DDC">
              <w:rPr>
                <w:rFonts w:ascii="Arial" w:hAnsi="Arial" w:cs="Arial"/>
                <w:color w:val="0070C0"/>
                <w:sz w:val="20"/>
                <w:szCs w:val="20"/>
                <w:vertAlign w:val="superscript"/>
              </w:rPr>
              <w:t>th</w:t>
            </w:r>
            <w:r>
              <w:rPr>
                <w:rFonts w:ascii="Arial" w:hAnsi="Arial" w:cs="Arial"/>
                <w:color w:val="0070C0"/>
                <w:sz w:val="20"/>
                <w:szCs w:val="20"/>
              </w:rPr>
              <w:t xml:space="preserve"> grade. The Summative assessment focuses on </w:t>
            </w:r>
            <w:r w:rsidR="00C311BF">
              <w:rPr>
                <w:rFonts w:ascii="Arial" w:hAnsi="Arial" w:cs="Arial"/>
                <w:color w:val="0070C0"/>
                <w:sz w:val="20"/>
                <w:szCs w:val="20"/>
              </w:rPr>
              <w:t xml:space="preserve">the acquisition of broader concepts and skills related to future career opportunities. </w:t>
            </w:r>
          </w:p>
        </w:tc>
      </w:tr>
    </w:tbl>
    <w:p w:rsidR="005316CD" w:rsidRDefault="005316CD" w:rsidP="00C311BF"/>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CF8" w:rsidRDefault="00376CF8" w:rsidP="005673D9">
      <w:pPr>
        <w:spacing w:after="0" w:line="240" w:lineRule="auto"/>
      </w:pPr>
      <w:r>
        <w:separator/>
      </w:r>
    </w:p>
  </w:endnote>
  <w:endnote w:type="continuationSeparator" w:id="0">
    <w:p w:rsidR="00376CF8" w:rsidRDefault="00376CF8"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56" w:rsidRPr="005673D9" w:rsidRDefault="00172656"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CF8" w:rsidRDefault="00376CF8" w:rsidP="005673D9">
      <w:pPr>
        <w:spacing w:after="0" w:line="240" w:lineRule="auto"/>
      </w:pPr>
      <w:r>
        <w:separator/>
      </w:r>
    </w:p>
  </w:footnote>
  <w:footnote w:type="continuationSeparator" w:id="0">
    <w:p w:rsidR="00376CF8" w:rsidRDefault="00376CF8"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25117D5"/>
    <w:multiLevelType w:val="hybridMultilevel"/>
    <w:tmpl w:val="07D0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0C6F52"/>
    <w:rsid w:val="001437F8"/>
    <w:rsid w:val="00154406"/>
    <w:rsid w:val="00172656"/>
    <w:rsid w:val="002364E7"/>
    <w:rsid w:val="00292D85"/>
    <w:rsid w:val="00376CF8"/>
    <w:rsid w:val="003A7612"/>
    <w:rsid w:val="003C2591"/>
    <w:rsid w:val="004462A2"/>
    <w:rsid w:val="004D7BF3"/>
    <w:rsid w:val="00525610"/>
    <w:rsid w:val="005316CD"/>
    <w:rsid w:val="00544597"/>
    <w:rsid w:val="00544D05"/>
    <w:rsid w:val="005673D9"/>
    <w:rsid w:val="00572BA7"/>
    <w:rsid w:val="005E076B"/>
    <w:rsid w:val="00650CF7"/>
    <w:rsid w:val="006B476C"/>
    <w:rsid w:val="006D3DA1"/>
    <w:rsid w:val="00736D27"/>
    <w:rsid w:val="00766A97"/>
    <w:rsid w:val="007B5111"/>
    <w:rsid w:val="007E5970"/>
    <w:rsid w:val="00805767"/>
    <w:rsid w:val="00861DDC"/>
    <w:rsid w:val="0089117A"/>
    <w:rsid w:val="0089386B"/>
    <w:rsid w:val="008A6B39"/>
    <w:rsid w:val="008F7C3A"/>
    <w:rsid w:val="00906EA5"/>
    <w:rsid w:val="00971396"/>
    <w:rsid w:val="00982347"/>
    <w:rsid w:val="00986F87"/>
    <w:rsid w:val="009A335E"/>
    <w:rsid w:val="00A16037"/>
    <w:rsid w:val="00A22D1D"/>
    <w:rsid w:val="00A2457D"/>
    <w:rsid w:val="00A540B7"/>
    <w:rsid w:val="00A726EE"/>
    <w:rsid w:val="00B00586"/>
    <w:rsid w:val="00BB7765"/>
    <w:rsid w:val="00C311BF"/>
    <w:rsid w:val="00C73358"/>
    <w:rsid w:val="00CB249F"/>
    <w:rsid w:val="00CC31CD"/>
    <w:rsid w:val="00DB412A"/>
    <w:rsid w:val="00E10A04"/>
    <w:rsid w:val="00E3299C"/>
    <w:rsid w:val="00E36F46"/>
    <w:rsid w:val="00F01284"/>
    <w:rsid w:val="00F93E5B"/>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5</cp:revision>
  <cp:lastPrinted>2012-05-08T11:17:00Z</cp:lastPrinted>
  <dcterms:created xsi:type="dcterms:W3CDTF">2012-05-01T09:55:00Z</dcterms:created>
  <dcterms:modified xsi:type="dcterms:W3CDTF">2012-05-08T11:17:00Z</dcterms:modified>
</cp:coreProperties>
</file>