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r w:rsidRPr="00982347">
        <w:rPr>
          <w:rFonts w:ascii="Gill Sans MT" w:hAnsi="Gill Sans MT"/>
          <w:b/>
          <w:sz w:val="32"/>
        </w:rPr>
        <w:t>New York State Student Learning Objective</w:t>
      </w:r>
      <w:r w:rsidR="00B3729A">
        <w:rPr>
          <w:rFonts w:ascii="Gill Sans MT" w:hAnsi="Gill Sans MT"/>
          <w:b/>
          <w:sz w:val="32"/>
        </w:rPr>
        <w:t xml:space="preserve">: </w:t>
      </w:r>
      <w:r w:rsidR="00B3729A" w:rsidRPr="00B3729A">
        <w:rPr>
          <w:rFonts w:ascii="Gill Sans MT" w:hAnsi="Gill Sans MT"/>
          <w:b/>
          <w:color w:val="7030A0"/>
          <w:sz w:val="32"/>
        </w:rPr>
        <w:t>Global History &amp; Geo II</w:t>
      </w:r>
      <w:r w:rsidRPr="00B3729A">
        <w:rPr>
          <w:rFonts w:ascii="Gill Sans MT" w:hAnsi="Gill Sans MT"/>
          <w:b/>
          <w:color w:val="7030A0"/>
          <w:sz w:val="32"/>
        </w:rPr>
        <w:t xml:space="preserve"> </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5316CD" w:rsidRPr="00B3729A" w:rsidRDefault="004E065A" w:rsidP="004462A2">
            <w:pPr>
              <w:spacing w:after="0" w:line="240" w:lineRule="auto"/>
              <w:rPr>
                <w:rFonts w:ascii="Arial" w:hAnsi="Arial" w:cs="Arial"/>
                <w:color w:val="7030A0"/>
              </w:rPr>
            </w:pPr>
            <w:r w:rsidRPr="00C57524">
              <w:rPr>
                <w:rFonts w:ascii="Arial" w:hAnsi="Arial" w:cs="Arial"/>
                <w:color w:val="7030A0"/>
                <w:sz w:val="20"/>
              </w:rPr>
              <w:t>Three sections of Regents Global History and Geography II, heterogeneously grouped, 75 students.</w:t>
            </w: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4C7594" w:rsidRDefault="005316CD" w:rsidP="004C7594">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w:t>
            </w:r>
            <w:proofErr w:type="gramStart"/>
            <w:r w:rsidRPr="00292D85">
              <w:rPr>
                <w:i/>
                <w:sz w:val="20"/>
                <w:szCs w:val="20"/>
              </w:rPr>
              <w:t>to</w:t>
            </w:r>
            <w:proofErr w:type="gramEnd"/>
            <w:r w:rsidRPr="00292D85">
              <w:rPr>
                <w:i/>
                <w:sz w:val="20"/>
                <w:szCs w:val="20"/>
              </w:rPr>
              <w:t xml:space="preserve"> specific priority standards? </w:t>
            </w:r>
          </w:p>
          <w:p w:rsidR="004C7594" w:rsidRPr="00C57524" w:rsidRDefault="004C7594" w:rsidP="004C7594">
            <w:pPr>
              <w:rPr>
                <w:rFonts w:ascii="Arial" w:hAnsi="Arial" w:cs="Arial"/>
                <w:color w:val="7030A0"/>
                <w:sz w:val="20"/>
              </w:rPr>
            </w:pPr>
            <w:r w:rsidRPr="00C57524">
              <w:rPr>
                <w:rFonts w:ascii="Arial" w:hAnsi="Arial" w:cs="Arial"/>
                <w:color w:val="7030A0"/>
                <w:sz w:val="20"/>
              </w:rPr>
              <w:t xml:space="preserve">Global History and Geography II; from 1750 – present </w:t>
            </w:r>
          </w:p>
          <w:p w:rsidR="004C7594" w:rsidRPr="00C57524" w:rsidRDefault="004C7594" w:rsidP="004C7594">
            <w:pPr>
              <w:rPr>
                <w:rFonts w:ascii="Arial" w:hAnsi="Arial" w:cs="Arial"/>
                <w:color w:val="7030A0"/>
                <w:sz w:val="20"/>
              </w:rPr>
            </w:pPr>
            <w:r w:rsidRPr="00C57524">
              <w:rPr>
                <w:rFonts w:ascii="Arial" w:hAnsi="Arial" w:cs="Arial"/>
                <w:color w:val="7030A0"/>
                <w:sz w:val="20"/>
              </w:rPr>
              <w:t>NYSED Social Studies Standard 2 - Students will use a variety of intellectual skills to demonstrate their understanding of major ideas, eras, themes, developments, and turning points in world history and examine the broad sweep of history from a variety of perspectives.</w:t>
            </w:r>
          </w:p>
          <w:p w:rsidR="004C7594" w:rsidRPr="00C57524" w:rsidRDefault="004C7594" w:rsidP="004C7594">
            <w:pPr>
              <w:rPr>
                <w:rFonts w:ascii="Arial" w:hAnsi="Arial" w:cs="Arial"/>
                <w:color w:val="7030A0"/>
                <w:sz w:val="20"/>
              </w:rPr>
            </w:pPr>
            <w:r w:rsidRPr="00C57524">
              <w:rPr>
                <w:rFonts w:ascii="Arial" w:hAnsi="Arial" w:cs="Arial"/>
                <w:color w:val="7030A0"/>
                <w:sz w:val="20"/>
              </w:rPr>
              <w:t xml:space="preserve">Common Core Standards for History/Social Studies </w:t>
            </w:r>
          </w:p>
          <w:p w:rsidR="004C7594" w:rsidRPr="00C57524" w:rsidRDefault="004C7594" w:rsidP="004C7594">
            <w:pPr>
              <w:rPr>
                <w:rFonts w:ascii="Arial" w:hAnsi="Arial" w:cs="Arial"/>
                <w:color w:val="7030A0"/>
                <w:sz w:val="20"/>
              </w:rPr>
            </w:pPr>
            <w:r w:rsidRPr="00C57524">
              <w:rPr>
                <w:rFonts w:ascii="Arial" w:hAnsi="Arial" w:cs="Arial"/>
                <w:color w:val="7030A0"/>
                <w:sz w:val="20"/>
              </w:rPr>
              <w:t>Reading - RH.9-</w:t>
            </w:r>
            <w:proofErr w:type="spellStart"/>
            <w:r w:rsidRPr="00C57524">
              <w:rPr>
                <w:rFonts w:ascii="Arial" w:hAnsi="Arial" w:cs="Arial"/>
                <w:color w:val="7030A0"/>
                <w:sz w:val="20"/>
              </w:rPr>
              <w:t>10.10.By</w:t>
            </w:r>
            <w:proofErr w:type="spellEnd"/>
            <w:r w:rsidRPr="00C57524">
              <w:rPr>
                <w:rFonts w:ascii="Arial" w:hAnsi="Arial" w:cs="Arial"/>
                <w:color w:val="7030A0"/>
                <w:sz w:val="20"/>
              </w:rPr>
              <w:t xml:space="preserve"> the end of grade 10, read and comprehend literature [informational texts, history/social studies texts at the high end of the grades 9–10 text complexity band independently and proficiently. RH.9-10.3. Analyze in detail a series of events described in a text; determine whether earlier events caused later ones or simply preceded them. </w:t>
            </w:r>
          </w:p>
          <w:p w:rsidR="005316CD" w:rsidRPr="00A8269A" w:rsidRDefault="004C7594" w:rsidP="004C7594">
            <w:pPr>
              <w:rPr>
                <w:i/>
                <w:sz w:val="20"/>
                <w:szCs w:val="20"/>
              </w:rPr>
            </w:pPr>
            <w:r w:rsidRPr="00C57524">
              <w:rPr>
                <w:rFonts w:ascii="Arial" w:hAnsi="Arial" w:cs="Arial"/>
                <w:color w:val="7030A0"/>
                <w:sz w:val="20"/>
              </w:rPr>
              <w:t>Writing - WHST.9-</w:t>
            </w:r>
            <w:proofErr w:type="spellStart"/>
            <w:r w:rsidRPr="00C57524">
              <w:rPr>
                <w:rFonts w:ascii="Arial" w:hAnsi="Arial" w:cs="Arial"/>
                <w:color w:val="7030A0"/>
                <w:sz w:val="20"/>
              </w:rPr>
              <w:t>10.1.Use</w:t>
            </w:r>
            <w:proofErr w:type="spellEnd"/>
            <w:r w:rsidRPr="00C57524">
              <w:rPr>
                <w:rFonts w:ascii="Arial" w:hAnsi="Arial" w:cs="Arial"/>
                <w:color w:val="7030A0"/>
                <w:sz w:val="20"/>
              </w:rPr>
              <w:t xml:space="preserve"> words, phrases, and clauses to link the major sections of the text, create cohesion, and clarify the relationships between claim(s) and reasons, between reasons and evidence, and between claim(s) and counterclaims.</w:t>
            </w: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4C7594" w:rsidRDefault="005316CD" w:rsidP="009F6D7B">
            <w:pPr>
              <w:rPr>
                <w:i/>
                <w:sz w:val="20"/>
                <w:szCs w:val="20"/>
              </w:rPr>
            </w:pPr>
            <w:r w:rsidRPr="00292D85">
              <w:rPr>
                <w:i/>
                <w:sz w:val="20"/>
                <w:szCs w:val="20"/>
              </w:rPr>
              <w:t>What is the instructional period covered (if not a year, rationale for semester/quarter/etc)?</w:t>
            </w:r>
            <w:r w:rsidR="00A8269A">
              <w:rPr>
                <w:i/>
                <w:sz w:val="20"/>
                <w:szCs w:val="20"/>
              </w:rPr>
              <w:t xml:space="preserve"> </w:t>
            </w:r>
          </w:p>
          <w:p w:rsidR="005316CD" w:rsidRPr="00A8269A" w:rsidRDefault="004E065A" w:rsidP="009F6D7B">
            <w:pPr>
              <w:rPr>
                <w:i/>
                <w:sz w:val="20"/>
                <w:szCs w:val="20"/>
              </w:rPr>
            </w:pPr>
            <w:r w:rsidRPr="00B3729A">
              <w:rPr>
                <w:rFonts w:ascii="Arial" w:hAnsi="Arial" w:cs="Arial"/>
                <w:color w:val="7030A0"/>
              </w:rPr>
              <w:t>2012-2013</w:t>
            </w:r>
          </w:p>
        </w:tc>
      </w:tr>
      <w:tr w:rsidR="005316CD"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4C7594" w:rsidRPr="00C57524" w:rsidRDefault="004C7594" w:rsidP="004C7594">
            <w:pPr>
              <w:spacing w:line="240" w:lineRule="auto"/>
              <w:rPr>
                <w:rFonts w:ascii="Arial" w:hAnsi="Arial" w:cs="Arial"/>
                <w:color w:val="7030A0"/>
                <w:sz w:val="20"/>
              </w:rPr>
            </w:pPr>
            <w:r w:rsidRPr="00C57524">
              <w:rPr>
                <w:rFonts w:ascii="Arial" w:hAnsi="Arial" w:cs="Arial"/>
                <w:color w:val="7030A0"/>
                <w:sz w:val="20"/>
              </w:rPr>
              <w:t>Baseline Assessment:</w:t>
            </w:r>
          </w:p>
          <w:p w:rsidR="004C7594" w:rsidRPr="00C57524" w:rsidRDefault="004C7594" w:rsidP="004C7594">
            <w:pPr>
              <w:spacing w:line="240" w:lineRule="auto"/>
              <w:rPr>
                <w:rFonts w:ascii="Arial" w:hAnsi="Arial" w:cs="Arial"/>
                <w:color w:val="7030A0"/>
                <w:sz w:val="20"/>
              </w:rPr>
            </w:pPr>
            <w:r w:rsidRPr="00C57524">
              <w:rPr>
                <w:rFonts w:ascii="Arial" w:hAnsi="Arial" w:cs="Arial"/>
                <w:color w:val="7030A0"/>
                <w:sz w:val="20"/>
              </w:rPr>
              <w:t>Star Reading Assessment to determine reading level.</w:t>
            </w:r>
          </w:p>
          <w:p w:rsidR="004C7594" w:rsidRPr="00C57524" w:rsidRDefault="004C7594" w:rsidP="004C7594">
            <w:pPr>
              <w:spacing w:line="240" w:lineRule="auto"/>
              <w:rPr>
                <w:rFonts w:ascii="Arial" w:hAnsi="Arial" w:cs="Arial"/>
                <w:color w:val="7030A0"/>
                <w:sz w:val="20"/>
              </w:rPr>
            </w:pPr>
            <w:r w:rsidRPr="00C57524">
              <w:rPr>
                <w:rFonts w:ascii="Arial" w:hAnsi="Arial" w:cs="Arial"/>
                <w:color w:val="7030A0"/>
                <w:sz w:val="20"/>
              </w:rPr>
              <w:t xml:space="preserve">Common writing prompt. After reading the Preamble and articles to the </w:t>
            </w:r>
            <w:r w:rsidRPr="00C57524">
              <w:rPr>
                <w:rFonts w:ascii="Arial" w:hAnsi="Arial" w:cs="Arial"/>
                <w:i/>
                <w:color w:val="7030A0"/>
                <w:sz w:val="20"/>
              </w:rPr>
              <w:t>Declaration of the Rights of Man and of the Citizen</w:t>
            </w:r>
            <w:r w:rsidRPr="00C57524">
              <w:rPr>
                <w:rFonts w:ascii="Arial" w:hAnsi="Arial" w:cs="Arial"/>
                <w:color w:val="7030A0"/>
                <w:sz w:val="20"/>
              </w:rPr>
              <w:t xml:space="preserve">, </w:t>
            </w:r>
            <w:r w:rsidRPr="00C57524">
              <w:rPr>
                <w:rFonts w:ascii="Arial" w:hAnsi="Arial" w:cs="Arial"/>
                <w:color w:val="7030A0"/>
                <w:sz w:val="20"/>
              </w:rPr>
              <w:lastRenderedPageBreak/>
              <w:t>students will discuss how the Declaration of the Rights of Man and of the Citizens addressed the causes of the French Revolution. A Social Studies department rubric was used in scoring the common writing prompt.</w:t>
            </w:r>
          </w:p>
          <w:p w:rsidR="004C7594" w:rsidRPr="00C57524" w:rsidRDefault="004C7594" w:rsidP="004C7594">
            <w:pPr>
              <w:rPr>
                <w:rFonts w:ascii="Arial" w:hAnsi="Arial" w:cs="Arial"/>
                <w:color w:val="7030A0"/>
                <w:sz w:val="20"/>
              </w:rPr>
            </w:pPr>
            <w:r w:rsidRPr="00C57524">
              <w:rPr>
                <w:rFonts w:ascii="Arial" w:hAnsi="Arial" w:cs="Arial"/>
                <w:color w:val="7030A0"/>
                <w:sz w:val="20"/>
              </w:rPr>
              <w:t>Summative Assessment:</w:t>
            </w:r>
          </w:p>
          <w:p w:rsidR="00AE775A" w:rsidRPr="00C57524" w:rsidRDefault="004C7594" w:rsidP="004C7594">
            <w:pPr>
              <w:rPr>
                <w:rFonts w:ascii="Cambria" w:hAnsi="Cambria"/>
                <w:szCs w:val="24"/>
              </w:rPr>
            </w:pPr>
            <w:r w:rsidRPr="00C57524">
              <w:rPr>
                <w:rFonts w:ascii="Arial" w:hAnsi="Arial" w:cs="Arial"/>
                <w:color w:val="7030A0"/>
                <w:sz w:val="20"/>
              </w:rPr>
              <w:t>NYS Regents Exam in Global History and Geography II exam, 2013.</w:t>
            </w:r>
          </w:p>
          <w:p w:rsidR="005316CD" w:rsidRPr="000551D7" w:rsidRDefault="005316CD" w:rsidP="004462A2">
            <w:pPr>
              <w:pStyle w:val="ListParagraph"/>
              <w:spacing w:after="0" w:line="240" w:lineRule="auto"/>
              <w:ind w:left="288"/>
              <w:rPr>
                <w:rFonts w:ascii="Arial" w:hAnsi="Arial" w:cs="Arial"/>
                <w:color w:val="000000"/>
                <w:sz w:val="20"/>
                <w:szCs w:val="20"/>
              </w:rPr>
            </w:pPr>
          </w:p>
        </w:tc>
      </w:tr>
      <w:tr w:rsidR="005316CD" w:rsidRPr="00292D85"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906EA5">
            <w:pPr>
              <w:rPr>
                <w:i/>
                <w:sz w:val="20"/>
                <w:szCs w:val="20"/>
              </w:rPr>
            </w:pPr>
            <w:r w:rsidRPr="00292D85">
              <w:rPr>
                <w:i/>
                <w:sz w:val="20"/>
                <w:szCs w:val="20"/>
              </w:rPr>
              <w:t>What is the starting level of students’ knowledge of the learning content at the beginning of the instructional period?</w:t>
            </w:r>
          </w:p>
          <w:p w:rsidR="0021664A" w:rsidRPr="0021664A" w:rsidRDefault="0021664A" w:rsidP="0021664A">
            <w:pPr>
              <w:spacing w:after="0" w:line="240" w:lineRule="auto"/>
              <w:rPr>
                <w:rFonts w:ascii="Arial" w:hAnsi="Arial" w:cs="Arial"/>
                <w:color w:val="7030A0"/>
                <w:sz w:val="20"/>
                <w:szCs w:val="20"/>
              </w:rPr>
            </w:pPr>
            <w:r w:rsidRPr="0021664A">
              <w:rPr>
                <w:rFonts w:ascii="Arial" w:hAnsi="Arial" w:cs="Arial"/>
                <w:color w:val="7030A0"/>
                <w:sz w:val="20"/>
                <w:szCs w:val="20"/>
              </w:rPr>
              <w:t xml:space="preserve">STAR Reading Assessment Data:                                                                                         </w:t>
            </w:r>
          </w:p>
          <w:p w:rsidR="0021664A" w:rsidRPr="0021664A" w:rsidRDefault="0021664A" w:rsidP="0021664A">
            <w:pPr>
              <w:spacing w:after="0" w:line="240" w:lineRule="auto"/>
              <w:rPr>
                <w:rFonts w:ascii="Arial" w:hAnsi="Arial" w:cs="Arial"/>
                <w:color w:val="7030A0"/>
                <w:sz w:val="20"/>
                <w:szCs w:val="20"/>
              </w:rPr>
            </w:pPr>
            <w:r w:rsidRPr="0021664A">
              <w:rPr>
                <w:rFonts w:ascii="Arial" w:hAnsi="Arial" w:cs="Arial"/>
                <w:color w:val="7030A0"/>
                <w:sz w:val="20"/>
                <w:szCs w:val="20"/>
              </w:rPr>
              <w:t xml:space="preserve">&lt;10% benchmark  = 5% - in need of urgent intervention in reading                          </w:t>
            </w:r>
          </w:p>
          <w:p w:rsidR="0021664A" w:rsidRPr="0021664A" w:rsidRDefault="0021664A" w:rsidP="0021664A">
            <w:pPr>
              <w:spacing w:after="0" w:line="240" w:lineRule="auto"/>
              <w:rPr>
                <w:rFonts w:ascii="Arial" w:hAnsi="Arial" w:cs="Arial"/>
                <w:color w:val="7030A0"/>
                <w:sz w:val="20"/>
                <w:szCs w:val="20"/>
              </w:rPr>
            </w:pPr>
            <w:r w:rsidRPr="0021664A">
              <w:rPr>
                <w:rFonts w:ascii="Arial" w:hAnsi="Arial" w:cs="Arial"/>
                <w:color w:val="7030A0"/>
                <w:sz w:val="20"/>
                <w:szCs w:val="20"/>
              </w:rPr>
              <w:t>&lt;25%  benchmark = 7% - in need of intervention in reading</w:t>
            </w:r>
            <w:r w:rsidRPr="0021664A">
              <w:rPr>
                <w:rFonts w:ascii="Arial" w:hAnsi="Arial" w:cs="Arial"/>
                <w:color w:val="7030A0"/>
                <w:sz w:val="20"/>
                <w:szCs w:val="20"/>
              </w:rPr>
              <w:tab/>
              <w:t xml:space="preserve">                                     </w:t>
            </w:r>
            <w:r w:rsidRPr="0021664A">
              <w:rPr>
                <w:rFonts w:ascii="Arial" w:hAnsi="Arial" w:cs="Arial"/>
                <w:color w:val="7030A0"/>
                <w:sz w:val="20"/>
                <w:szCs w:val="20"/>
              </w:rPr>
              <w:tab/>
            </w:r>
            <w:r w:rsidRPr="0021664A">
              <w:rPr>
                <w:rFonts w:ascii="Arial" w:hAnsi="Arial" w:cs="Arial"/>
                <w:color w:val="7030A0"/>
                <w:sz w:val="20"/>
                <w:szCs w:val="20"/>
              </w:rPr>
              <w:tab/>
            </w:r>
          </w:p>
          <w:p w:rsidR="0021664A" w:rsidRPr="0021664A" w:rsidRDefault="0021664A" w:rsidP="0021664A">
            <w:pPr>
              <w:spacing w:after="0" w:line="240" w:lineRule="auto"/>
              <w:rPr>
                <w:rFonts w:ascii="Arial" w:hAnsi="Arial" w:cs="Arial"/>
                <w:color w:val="7030A0"/>
                <w:sz w:val="20"/>
                <w:szCs w:val="20"/>
              </w:rPr>
            </w:pPr>
            <w:r w:rsidRPr="0021664A">
              <w:rPr>
                <w:rFonts w:ascii="Arial" w:hAnsi="Arial" w:cs="Arial"/>
                <w:color w:val="7030A0"/>
                <w:sz w:val="20"/>
                <w:szCs w:val="20"/>
              </w:rPr>
              <w:t>&lt;40% benchmark = 21% - on watch list</w:t>
            </w:r>
            <w:r w:rsidRPr="0021664A">
              <w:rPr>
                <w:rFonts w:ascii="Arial" w:hAnsi="Arial" w:cs="Arial"/>
                <w:color w:val="7030A0"/>
                <w:sz w:val="20"/>
                <w:szCs w:val="20"/>
              </w:rPr>
              <w:tab/>
            </w:r>
            <w:r w:rsidRPr="0021664A">
              <w:rPr>
                <w:rFonts w:ascii="Arial" w:hAnsi="Arial" w:cs="Arial"/>
                <w:color w:val="7030A0"/>
                <w:sz w:val="20"/>
                <w:szCs w:val="20"/>
              </w:rPr>
              <w:tab/>
              <w:t xml:space="preserve">                                                            </w:t>
            </w:r>
          </w:p>
          <w:p w:rsidR="0021664A" w:rsidRPr="0021664A" w:rsidRDefault="0021664A" w:rsidP="0021664A">
            <w:pPr>
              <w:spacing w:after="0" w:line="240" w:lineRule="auto"/>
              <w:rPr>
                <w:rFonts w:ascii="Arial" w:hAnsi="Arial" w:cs="Arial"/>
                <w:color w:val="7030A0"/>
                <w:sz w:val="20"/>
                <w:szCs w:val="20"/>
              </w:rPr>
            </w:pPr>
            <w:r w:rsidRPr="0021664A">
              <w:rPr>
                <w:rFonts w:ascii="Arial" w:hAnsi="Arial" w:cs="Arial"/>
                <w:color w:val="7030A0"/>
                <w:sz w:val="20"/>
                <w:szCs w:val="20"/>
              </w:rPr>
              <w:t xml:space="preserve">At or above 40% =   67%  at/above benchmark (reading at or above grade level) </w:t>
            </w:r>
            <w:r w:rsidRPr="0021664A">
              <w:rPr>
                <w:rFonts w:ascii="Arial" w:hAnsi="Arial" w:cs="Arial"/>
                <w:color w:val="7030A0"/>
                <w:sz w:val="20"/>
                <w:szCs w:val="20"/>
              </w:rPr>
              <w:tab/>
            </w:r>
          </w:p>
          <w:p w:rsidR="0021664A" w:rsidRPr="0021664A" w:rsidRDefault="0021664A" w:rsidP="0021664A">
            <w:pPr>
              <w:spacing w:after="0" w:line="240" w:lineRule="auto"/>
              <w:rPr>
                <w:rFonts w:ascii="Arial" w:hAnsi="Arial" w:cs="Arial"/>
                <w:color w:val="7030A0"/>
                <w:sz w:val="20"/>
                <w:szCs w:val="20"/>
              </w:rPr>
            </w:pPr>
          </w:p>
          <w:p w:rsidR="0021664A" w:rsidRPr="0021664A" w:rsidRDefault="0021664A" w:rsidP="0021664A">
            <w:pPr>
              <w:spacing w:after="0" w:line="240" w:lineRule="auto"/>
              <w:rPr>
                <w:rFonts w:ascii="Arial" w:hAnsi="Arial" w:cs="Arial"/>
                <w:color w:val="7030A0"/>
                <w:sz w:val="20"/>
                <w:szCs w:val="20"/>
              </w:rPr>
            </w:pPr>
            <w:r w:rsidRPr="0021664A">
              <w:rPr>
                <w:rFonts w:ascii="Arial" w:hAnsi="Arial" w:cs="Arial"/>
                <w:color w:val="7030A0"/>
                <w:sz w:val="20"/>
                <w:szCs w:val="20"/>
              </w:rPr>
              <w:t>Common Writing Prompt Assessment Data:</w:t>
            </w:r>
          </w:p>
          <w:p w:rsidR="0021664A" w:rsidRPr="0021664A" w:rsidRDefault="0021664A" w:rsidP="0021664A">
            <w:pPr>
              <w:spacing w:after="0" w:line="240" w:lineRule="auto"/>
              <w:rPr>
                <w:rFonts w:ascii="Arial" w:hAnsi="Arial" w:cs="Arial"/>
                <w:color w:val="7030A0"/>
                <w:sz w:val="20"/>
                <w:szCs w:val="20"/>
              </w:rPr>
            </w:pPr>
            <w:r w:rsidRPr="0021664A">
              <w:rPr>
                <w:rFonts w:ascii="Arial" w:hAnsi="Arial" w:cs="Arial"/>
                <w:color w:val="7030A0"/>
                <w:sz w:val="20"/>
                <w:szCs w:val="20"/>
              </w:rPr>
              <w:t>30% scored between 0 – 64%</w:t>
            </w:r>
          </w:p>
          <w:p w:rsidR="0021664A" w:rsidRPr="0021664A" w:rsidRDefault="0021664A" w:rsidP="0021664A">
            <w:pPr>
              <w:spacing w:after="0" w:line="240" w:lineRule="auto"/>
              <w:rPr>
                <w:rFonts w:ascii="Arial" w:hAnsi="Arial" w:cs="Arial"/>
                <w:color w:val="7030A0"/>
                <w:sz w:val="20"/>
                <w:szCs w:val="20"/>
              </w:rPr>
            </w:pPr>
            <w:r w:rsidRPr="0021664A">
              <w:rPr>
                <w:rFonts w:ascii="Arial" w:hAnsi="Arial" w:cs="Arial"/>
                <w:color w:val="7030A0"/>
                <w:sz w:val="20"/>
                <w:szCs w:val="20"/>
              </w:rPr>
              <w:t>63% scored between 65-84% (passing)</w:t>
            </w:r>
          </w:p>
          <w:p w:rsidR="005316CD" w:rsidRPr="00B3729A" w:rsidRDefault="0021664A" w:rsidP="0021664A">
            <w:pPr>
              <w:spacing w:after="0" w:line="240" w:lineRule="auto"/>
              <w:rPr>
                <w:rFonts w:ascii="Arial" w:hAnsi="Arial" w:cs="Arial"/>
                <w:color w:val="7030A0"/>
              </w:rPr>
            </w:pPr>
            <w:r w:rsidRPr="0021664A">
              <w:rPr>
                <w:rFonts w:ascii="Arial" w:hAnsi="Arial" w:cs="Arial"/>
                <w:color w:val="7030A0"/>
                <w:sz w:val="20"/>
                <w:szCs w:val="20"/>
              </w:rPr>
              <w:t>7%  scored between 85-100 % (mastery)</w:t>
            </w:r>
            <w:r w:rsidRPr="0021664A">
              <w:rPr>
                <w:rFonts w:ascii="Arial" w:hAnsi="Arial" w:cs="Arial"/>
                <w:color w:val="7030A0"/>
                <w:sz w:val="20"/>
                <w:szCs w:val="20"/>
              </w:rPr>
              <w:tab/>
            </w: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736D27">
            <w:pPr>
              <w:rPr>
                <w:i/>
                <w:sz w:val="20"/>
                <w:szCs w:val="20"/>
              </w:rPr>
            </w:pPr>
            <w:r w:rsidRPr="00292D85">
              <w:rPr>
                <w:i/>
                <w:sz w:val="20"/>
                <w:szCs w:val="20"/>
              </w:rPr>
              <w:t>What is the expected outcome (target) of students’ level of knowledge of the learning content at the end of the instructional period?</w:t>
            </w:r>
          </w:p>
          <w:p w:rsidR="005316CD" w:rsidRPr="0021664A" w:rsidRDefault="004E065A" w:rsidP="00906EA5">
            <w:pPr>
              <w:rPr>
                <w:rFonts w:ascii="Arial" w:hAnsi="Arial" w:cs="Arial"/>
                <w:color w:val="7030A0"/>
                <w:szCs w:val="24"/>
              </w:rPr>
            </w:pPr>
            <w:r w:rsidRPr="00C57524">
              <w:rPr>
                <w:rFonts w:ascii="Arial" w:hAnsi="Arial" w:cs="Arial"/>
                <w:color w:val="7030A0"/>
                <w:sz w:val="20"/>
                <w:szCs w:val="24"/>
              </w:rPr>
              <w:t xml:space="preserve">70% of the students will score at or above 65% on the Regents Global History and Geography II examination given at the conclusion of the school year. </w:t>
            </w:r>
          </w:p>
        </w:tc>
      </w:tr>
      <w:tr w:rsidR="005316CD" w:rsidRPr="00292D85"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5316CD" w:rsidRPr="00C57524" w:rsidRDefault="00B3729A" w:rsidP="00906EA5">
            <w:pPr>
              <w:rPr>
                <w:rFonts w:ascii="Arial" w:hAnsi="Arial" w:cs="Arial"/>
                <w:color w:val="7030A0"/>
                <w:sz w:val="20"/>
                <w:szCs w:val="20"/>
              </w:rPr>
            </w:pPr>
            <w:r w:rsidRPr="00C57524">
              <w:rPr>
                <w:rFonts w:ascii="Arial" w:hAnsi="Arial" w:cs="Arial"/>
                <w:color w:val="7030A0"/>
                <w:sz w:val="20"/>
                <w:szCs w:val="20"/>
              </w:rPr>
              <w:t>Percent of students scoring at least a 65% on the Regents exam:</w:t>
            </w:r>
          </w:p>
          <w:p w:rsidR="005316CD" w:rsidRPr="00E10A04" w:rsidRDefault="005316CD" w:rsidP="005673D9">
            <w:pPr>
              <w:spacing w:after="0" w:line="240" w:lineRule="auto"/>
              <w:rPr>
                <w:rFonts w:ascii="Arial" w:hAnsi="Arial" w:cs="Arial"/>
                <w:color w:val="000000"/>
                <w:sz w:val="20"/>
                <w:szCs w:val="20"/>
              </w:rPr>
            </w:pPr>
          </w:p>
        </w:tc>
      </w:tr>
      <w:tr w:rsidR="005316CD"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5316CD" w:rsidRPr="00292D85" w:rsidTr="00906EA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5316CD" w:rsidP="00E10A04">
            <w:pPr>
              <w:spacing w:after="0" w:line="240" w:lineRule="auto"/>
              <w:jc w:val="center"/>
              <w:rPr>
                <w:rFonts w:ascii="Arial" w:hAnsi="Arial" w:cs="Arial"/>
                <w:color w:val="7030A0"/>
                <w:sz w:val="18"/>
                <w:szCs w:val="20"/>
              </w:rPr>
            </w:pPr>
            <w:r w:rsidRPr="00C57524">
              <w:rPr>
                <w:rFonts w:ascii="Arial" w:hAnsi="Arial" w:cs="Arial"/>
                <w:color w:val="7030A0"/>
                <w:sz w:val="18"/>
                <w:szCs w:val="20"/>
              </w:rPr>
              <w:t xml:space="preserve"> </w:t>
            </w:r>
            <w:r w:rsidR="00233333" w:rsidRPr="00C57524">
              <w:rPr>
                <w:rFonts w:ascii="Arial" w:hAnsi="Arial" w:cs="Arial"/>
                <w:color w:val="7030A0"/>
                <w:sz w:val="18"/>
                <w:szCs w:val="20"/>
              </w:rPr>
              <w:t>98-100</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4462A2">
            <w:pPr>
              <w:spacing w:after="0" w:line="240" w:lineRule="auto"/>
              <w:jc w:val="center"/>
              <w:rPr>
                <w:rFonts w:ascii="Arial" w:hAnsi="Arial" w:cs="Arial"/>
                <w:color w:val="7030A0"/>
                <w:sz w:val="18"/>
                <w:szCs w:val="20"/>
              </w:rPr>
            </w:pPr>
            <w:r w:rsidRPr="00C57524">
              <w:rPr>
                <w:rFonts w:ascii="Arial" w:hAnsi="Arial" w:cs="Arial"/>
                <w:color w:val="7030A0"/>
                <w:sz w:val="18"/>
                <w:szCs w:val="20"/>
              </w:rPr>
              <w:t>97-94</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0"/>
              </w:rPr>
            </w:pPr>
            <w:r w:rsidRPr="00C57524">
              <w:rPr>
                <w:rFonts w:ascii="Arial" w:hAnsi="Arial" w:cs="Arial"/>
                <w:color w:val="7030A0"/>
                <w:sz w:val="18"/>
                <w:szCs w:val="20"/>
              </w:rPr>
              <w:t>93-90</w:t>
            </w:r>
            <w:bookmarkStart w:id="0" w:name="_GoBack"/>
            <w:bookmarkEnd w:id="0"/>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0"/>
              </w:rPr>
            </w:pPr>
            <w:r w:rsidRPr="00C57524">
              <w:rPr>
                <w:rFonts w:ascii="Arial" w:hAnsi="Arial" w:cs="Arial"/>
                <w:color w:val="7030A0"/>
                <w:sz w:val="18"/>
                <w:szCs w:val="20"/>
              </w:rPr>
              <w:t>89-86</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0"/>
              </w:rPr>
            </w:pPr>
            <w:r w:rsidRPr="00C57524">
              <w:rPr>
                <w:rFonts w:ascii="Arial" w:hAnsi="Arial" w:cs="Arial"/>
                <w:color w:val="7030A0"/>
                <w:sz w:val="18"/>
                <w:szCs w:val="20"/>
              </w:rPr>
              <w:t>85-82</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0"/>
              </w:rPr>
            </w:pPr>
            <w:r w:rsidRPr="00C57524">
              <w:rPr>
                <w:rFonts w:ascii="Arial" w:hAnsi="Arial" w:cs="Arial"/>
                <w:color w:val="7030A0"/>
                <w:sz w:val="18"/>
                <w:szCs w:val="20"/>
              </w:rPr>
              <w:t>81-78</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0"/>
              </w:rPr>
            </w:pPr>
            <w:r w:rsidRPr="00C57524">
              <w:rPr>
                <w:rFonts w:ascii="Arial" w:hAnsi="Arial" w:cs="Arial"/>
                <w:color w:val="7030A0"/>
                <w:sz w:val="18"/>
                <w:szCs w:val="20"/>
              </w:rPr>
              <w:t>77-74</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0"/>
              </w:rPr>
            </w:pPr>
            <w:r w:rsidRPr="00C57524">
              <w:rPr>
                <w:rFonts w:ascii="Arial" w:hAnsi="Arial" w:cs="Arial"/>
                <w:color w:val="7030A0"/>
                <w:sz w:val="18"/>
                <w:szCs w:val="20"/>
              </w:rPr>
              <w:t>73-70</w:t>
            </w:r>
            <w:r w:rsidR="005316CD" w:rsidRPr="00C57524">
              <w:rPr>
                <w:rFonts w:ascii="Arial" w:hAnsi="Arial" w:cs="Arial"/>
                <w:color w:val="7030A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0"/>
              </w:rPr>
            </w:pPr>
            <w:r w:rsidRPr="00C57524">
              <w:rPr>
                <w:rFonts w:ascii="Arial" w:hAnsi="Arial" w:cs="Arial"/>
                <w:color w:val="7030A0"/>
                <w:sz w:val="18"/>
                <w:szCs w:val="20"/>
              </w:rPr>
              <w:t>69-66</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0"/>
              </w:rPr>
            </w:pPr>
            <w:r w:rsidRPr="00C57524">
              <w:rPr>
                <w:rFonts w:ascii="Arial" w:hAnsi="Arial" w:cs="Arial"/>
                <w:color w:val="7030A0"/>
                <w:sz w:val="18"/>
                <w:szCs w:val="20"/>
              </w:rPr>
              <w:t>65-63</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0"/>
              </w:rPr>
            </w:pPr>
            <w:r w:rsidRPr="00C57524">
              <w:rPr>
                <w:rFonts w:ascii="Arial" w:hAnsi="Arial" w:cs="Arial"/>
                <w:color w:val="7030A0"/>
                <w:sz w:val="18"/>
                <w:szCs w:val="20"/>
              </w:rPr>
              <w:t>62-60</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0"/>
              </w:rPr>
            </w:pPr>
            <w:r w:rsidRPr="00C57524">
              <w:rPr>
                <w:rFonts w:ascii="Arial" w:hAnsi="Arial" w:cs="Arial"/>
                <w:color w:val="7030A0"/>
                <w:sz w:val="18"/>
                <w:szCs w:val="20"/>
              </w:rPr>
              <w:t>59-57</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0"/>
              </w:rPr>
            </w:pPr>
            <w:r w:rsidRPr="00C57524">
              <w:rPr>
                <w:rFonts w:ascii="Arial" w:hAnsi="Arial" w:cs="Arial"/>
                <w:color w:val="7030A0"/>
                <w:sz w:val="18"/>
                <w:szCs w:val="20"/>
              </w:rPr>
              <w:t>56-54</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0"/>
              </w:rPr>
            </w:pPr>
            <w:r w:rsidRPr="00C57524">
              <w:rPr>
                <w:rFonts w:ascii="Arial" w:hAnsi="Arial" w:cs="Arial"/>
                <w:color w:val="7030A0"/>
                <w:sz w:val="18"/>
                <w:szCs w:val="20"/>
              </w:rPr>
              <w:t>53-51</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8"/>
              </w:rPr>
            </w:pPr>
            <w:r w:rsidRPr="00C57524">
              <w:rPr>
                <w:rFonts w:ascii="Arial" w:hAnsi="Arial" w:cs="Arial"/>
                <w:color w:val="7030A0"/>
                <w:sz w:val="18"/>
                <w:szCs w:val="28"/>
              </w:rPr>
              <w:t>50-48</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8"/>
              </w:rPr>
            </w:pPr>
            <w:r w:rsidRPr="00C57524">
              <w:rPr>
                <w:rFonts w:ascii="Arial" w:hAnsi="Arial" w:cs="Arial"/>
                <w:color w:val="7030A0"/>
                <w:sz w:val="18"/>
                <w:szCs w:val="28"/>
              </w:rPr>
              <w:t>47-45</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8"/>
              </w:rPr>
            </w:pPr>
            <w:r w:rsidRPr="00C57524">
              <w:rPr>
                <w:rFonts w:ascii="Arial" w:hAnsi="Arial" w:cs="Arial"/>
                <w:color w:val="7030A0"/>
                <w:sz w:val="18"/>
                <w:szCs w:val="28"/>
              </w:rPr>
              <w:t>44-42</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8"/>
              </w:rPr>
            </w:pPr>
            <w:r w:rsidRPr="00C57524">
              <w:rPr>
                <w:rFonts w:ascii="Arial" w:hAnsi="Arial" w:cs="Arial"/>
                <w:color w:val="7030A0"/>
                <w:sz w:val="18"/>
                <w:szCs w:val="28"/>
              </w:rPr>
              <w:t>41-40</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4462A2">
            <w:pPr>
              <w:spacing w:after="0" w:line="240" w:lineRule="auto"/>
              <w:jc w:val="center"/>
              <w:rPr>
                <w:rFonts w:ascii="Arial" w:hAnsi="Arial" w:cs="Arial"/>
                <w:color w:val="7030A0"/>
                <w:sz w:val="18"/>
                <w:szCs w:val="28"/>
              </w:rPr>
            </w:pPr>
            <w:r w:rsidRPr="00C57524">
              <w:rPr>
                <w:rFonts w:ascii="Arial" w:hAnsi="Arial" w:cs="Arial"/>
                <w:color w:val="7030A0"/>
                <w:sz w:val="18"/>
                <w:szCs w:val="28"/>
              </w:rPr>
              <w:t>39-38</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8"/>
              </w:rPr>
            </w:pPr>
            <w:r w:rsidRPr="00C57524">
              <w:rPr>
                <w:rFonts w:ascii="Arial" w:hAnsi="Arial" w:cs="Arial"/>
                <w:color w:val="7030A0"/>
                <w:sz w:val="18"/>
                <w:szCs w:val="28"/>
              </w:rPr>
              <w:t>37-36</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C57524" w:rsidRDefault="00233333" w:rsidP="00E10A04">
            <w:pPr>
              <w:spacing w:after="0" w:line="240" w:lineRule="auto"/>
              <w:jc w:val="center"/>
              <w:rPr>
                <w:rFonts w:ascii="Arial" w:hAnsi="Arial" w:cs="Arial"/>
                <w:color w:val="7030A0"/>
                <w:sz w:val="18"/>
                <w:szCs w:val="28"/>
              </w:rPr>
            </w:pPr>
            <w:r w:rsidRPr="00C57524">
              <w:rPr>
                <w:rFonts w:ascii="Arial" w:hAnsi="Arial" w:cs="Arial"/>
                <w:color w:val="7030A0"/>
                <w:sz w:val="18"/>
                <w:szCs w:val="28"/>
              </w:rPr>
              <w:t>&lt;</w:t>
            </w:r>
            <w:r w:rsidR="00C64C56" w:rsidRPr="00C57524">
              <w:rPr>
                <w:rFonts w:ascii="Arial" w:hAnsi="Arial" w:cs="Arial"/>
                <w:color w:val="7030A0"/>
                <w:sz w:val="18"/>
                <w:szCs w:val="28"/>
              </w:rPr>
              <w:t xml:space="preserve"> 35</w:t>
            </w:r>
          </w:p>
        </w:tc>
      </w:tr>
      <w:tr w:rsidR="005316CD" w:rsidRPr="00292D85"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4E065A" w:rsidRDefault="005316CD"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5316CD" w:rsidRPr="00E10A04" w:rsidRDefault="004C7594" w:rsidP="004C7594">
            <w:pPr>
              <w:rPr>
                <w:rFonts w:ascii="Arial" w:hAnsi="Arial" w:cs="Arial"/>
                <w:color w:val="000000"/>
                <w:sz w:val="20"/>
                <w:szCs w:val="20"/>
              </w:rPr>
            </w:pPr>
            <w:r w:rsidRPr="00C57524">
              <w:rPr>
                <w:rFonts w:ascii="Arial" w:hAnsi="Arial" w:cs="Arial"/>
                <w:color w:val="7030A0"/>
                <w:sz w:val="20"/>
                <w:szCs w:val="24"/>
              </w:rPr>
              <w:t xml:space="preserve">The Learning Content is aligned with the New York State Curriculum for Global History and Geography and Common Core Literacy Standards in History/Social Studies. The baseline assessment combines the results from the Star Reading Assessment and common writing prompt. Based upon the baseline assessment, the target score was developed. The summative score is based upon the performance task for grade 10 – NYS Regents Examination in Global History and Geography.  </w:t>
            </w:r>
          </w:p>
        </w:tc>
      </w:tr>
    </w:tbl>
    <w:p w:rsidR="005316CD" w:rsidRDefault="005316CD"/>
    <w:sectPr w:rsidR="005316CD"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EF4" w:rsidRDefault="00896EF4" w:rsidP="005673D9">
      <w:pPr>
        <w:spacing w:after="0" w:line="240" w:lineRule="auto"/>
      </w:pPr>
      <w:r>
        <w:separator/>
      </w:r>
    </w:p>
  </w:endnote>
  <w:endnote w:type="continuationSeparator" w:id="0">
    <w:p w:rsidR="00896EF4" w:rsidRDefault="00896EF4"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F4" w:rsidRPr="005673D9" w:rsidRDefault="00896EF4"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EF4" w:rsidRDefault="00896EF4" w:rsidP="005673D9">
      <w:pPr>
        <w:spacing w:after="0" w:line="240" w:lineRule="auto"/>
      </w:pPr>
      <w:r>
        <w:separator/>
      </w:r>
    </w:p>
  </w:footnote>
  <w:footnote w:type="continuationSeparator" w:id="0">
    <w:p w:rsidR="00896EF4" w:rsidRDefault="00896EF4"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21664A"/>
    <w:rsid w:val="00233333"/>
    <w:rsid w:val="00292D85"/>
    <w:rsid w:val="002942FC"/>
    <w:rsid w:val="003A7612"/>
    <w:rsid w:val="003C2591"/>
    <w:rsid w:val="004462A2"/>
    <w:rsid w:val="00451FA8"/>
    <w:rsid w:val="004C7594"/>
    <w:rsid w:val="004D7BF3"/>
    <w:rsid w:val="004E065A"/>
    <w:rsid w:val="005316CD"/>
    <w:rsid w:val="00544597"/>
    <w:rsid w:val="00544D05"/>
    <w:rsid w:val="005673D9"/>
    <w:rsid w:val="00620AC3"/>
    <w:rsid w:val="00650CF7"/>
    <w:rsid w:val="0068265A"/>
    <w:rsid w:val="006D3DA1"/>
    <w:rsid w:val="00736D27"/>
    <w:rsid w:val="00766A97"/>
    <w:rsid w:val="007D7795"/>
    <w:rsid w:val="00805767"/>
    <w:rsid w:val="00896EF4"/>
    <w:rsid w:val="008A6B39"/>
    <w:rsid w:val="008F7C3A"/>
    <w:rsid w:val="00906EA5"/>
    <w:rsid w:val="0092687A"/>
    <w:rsid w:val="009333E6"/>
    <w:rsid w:val="0093508F"/>
    <w:rsid w:val="00982347"/>
    <w:rsid w:val="009A335E"/>
    <w:rsid w:val="009F1E3B"/>
    <w:rsid w:val="009F6D7B"/>
    <w:rsid w:val="00A16037"/>
    <w:rsid w:val="00A22D1D"/>
    <w:rsid w:val="00A540B7"/>
    <w:rsid w:val="00A726EE"/>
    <w:rsid w:val="00A8269A"/>
    <w:rsid w:val="00AE775A"/>
    <w:rsid w:val="00B3729A"/>
    <w:rsid w:val="00BA21F5"/>
    <w:rsid w:val="00C57524"/>
    <w:rsid w:val="00C64C56"/>
    <w:rsid w:val="00C73358"/>
    <w:rsid w:val="00C94BF4"/>
    <w:rsid w:val="00E10A04"/>
    <w:rsid w:val="00E36F46"/>
    <w:rsid w:val="00F01284"/>
    <w:rsid w:val="00FD17BB"/>
    <w:rsid w:val="00FD1F73"/>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700</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8</cp:revision>
  <cp:lastPrinted>2012-05-08T11:16:00Z</cp:lastPrinted>
  <dcterms:created xsi:type="dcterms:W3CDTF">2012-04-17T11:07:00Z</dcterms:created>
  <dcterms:modified xsi:type="dcterms:W3CDTF">2012-05-08T11:16:00Z</dcterms:modified>
</cp:coreProperties>
</file>