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 xml:space="preserve">New York State Student Learning Objective </w:t>
      </w:r>
      <w:bookmarkStart w:id="0" w:name="_GoBack"/>
      <w:bookmarkEnd w:id="0"/>
      <w:r w:rsidR="002E504F">
        <w:rPr>
          <w:rFonts w:ascii="Gill Sans MT" w:hAnsi="Gill Sans MT"/>
          <w:b/>
          <w:color w:val="4F81BD" w:themeColor="accent1"/>
          <w:sz w:val="32"/>
        </w:rPr>
        <w:t>ELA 11</w:t>
      </w:r>
      <w:r w:rsidR="002E504F" w:rsidRPr="002E504F">
        <w:rPr>
          <w:rFonts w:ascii="Gill Sans MT" w:hAnsi="Gill Sans MT"/>
          <w:b/>
          <w:color w:val="4F81BD" w:themeColor="accent1"/>
          <w:sz w:val="32"/>
          <w:vertAlign w:val="superscript"/>
        </w:rPr>
        <w:t>th</w:t>
      </w:r>
      <w:r w:rsidR="002E504F">
        <w:rPr>
          <w:rFonts w:ascii="Gill Sans MT" w:hAnsi="Gill Sans MT"/>
          <w:b/>
          <w:color w:val="4F81BD" w:themeColor="accent1"/>
          <w:sz w:val="32"/>
        </w:rPr>
        <w:t xml:space="preserve"> Grade</w:t>
      </w:r>
    </w:p>
    <w:tbl>
      <w:tblPr>
        <w:tblW w:w="14505" w:type="dxa"/>
        <w:tblInd w:w="93" w:type="dxa"/>
        <w:tblLayout w:type="fixed"/>
        <w:tblLook w:val="00A0" w:firstRow="1" w:lastRow="0" w:firstColumn="1" w:lastColumn="0" w:noHBand="0" w:noVBand="0"/>
      </w:tblPr>
      <w:tblGrid>
        <w:gridCol w:w="2049"/>
        <w:gridCol w:w="576"/>
        <w:gridCol w:w="610"/>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DB7B3A" w:rsidRPr="00DB7B3A" w:rsidRDefault="00DB7B3A" w:rsidP="00DB7B3A">
            <w:pPr>
              <w:spacing w:after="0" w:line="240" w:lineRule="auto"/>
              <w:rPr>
                <w:rFonts w:ascii="Arial" w:hAnsi="Arial" w:cs="Arial"/>
                <w:color w:val="4F81BD" w:themeColor="accent1"/>
                <w:sz w:val="20"/>
                <w:szCs w:val="24"/>
              </w:rPr>
            </w:pPr>
            <w:r w:rsidRPr="00DB7B3A">
              <w:rPr>
                <w:rFonts w:ascii="Arial" w:hAnsi="Arial" w:cs="Arial"/>
                <w:color w:val="4F81BD" w:themeColor="accent1"/>
                <w:sz w:val="20"/>
                <w:szCs w:val="24"/>
              </w:rPr>
              <w:t>Three sections of heterogeneously grouped ELA11R students:</w:t>
            </w:r>
          </w:p>
          <w:p w:rsidR="00DB7B3A" w:rsidRPr="00DB7B3A" w:rsidRDefault="00DB7B3A" w:rsidP="00DB7B3A">
            <w:pPr>
              <w:spacing w:after="0" w:line="240" w:lineRule="auto"/>
              <w:rPr>
                <w:rFonts w:ascii="Arial" w:hAnsi="Arial" w:cs="Arial"/>
                <w:color w:val="4F81BD" w:themeColor="accent1"/>
                <w:sz w:val="20"/>
                <w:szCs w:val="24"/>
              </w:rPr>
            </w:pPr>
          </w:p>
          <w:p w:rsidR="005316CD" w:rsidRPr="00DB7B3A" w:rsidRDefault="00DB7B3A" w:rsidP="00DB7B3A">
            <w:pPr>
              <w:spacing w:after="0" w:line="240" w:lineRule="auto"/>
              <w:rPr>
                <w:rFonts w:ascii="Arial" w:hAnsi="Arial" w:cs="Arial"/>
                <w:color w:val="4F81BD" w:themeColor="accent1"/>
                <w:sz w:val="20"/>
                <w:szCs w:val="24"/>
              </w:rPr>
            </w:pPr>
            <w:r w:rsidRPr="00DB7B3A">
              <w:rPr>
                <w:rFonts w:ascii="Arial" w:hAnsi="Arial" w:cs="Arial"/>
                <w:color w:val="4F81BD" w:themeColor="accent1"/>
                <w:sz w:val="20"/>
                <w:szCs w:val="24"/>
              </w:rPr>
              <w:t>56 students altogether (16, 19, and 21 in each class respectively)</w:t>
            </w: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5316CD" w:rsidRPr="00BD778C" w:rsidRDefault="00DB7B3A" w:rsidP="00906EA5">
            <w:pPr>
              <w:rPr>
                <w:rFonts w:ascii="Arial" w:hAnsi="Arial" w:cs="Arial"/>
                <w:color w:val="4F81BD" w:themeColor="accent1"/>
                <w:sz w:val="24"/>
                <w:szCs w:val="24"/>
              </w:rPr>
            </w:pPr>
            <w:r w:rsidRPr="00DB7B3A">
              <w:rPr>
                <w:rFonts w:ascii="Arial" w:hAnsi="Arial" w:cs="Arial"/>
                <w:color w:val="4F81BD" w:themeColor="accent1"/>
                <w:sz w:val="20"/>
                <w:szCs w:val="24"/>
              </w:rPr>
              <w:t>Through the employment of complex literature and informational texts, the students will be assigned reading, writing, speaking and listening tasks in which they will be required to demonstrate growth in the skills of comprehension, analysis, application, synthesis and evaluation. The curriculum priorities focus intensely on the development of each skill through the statement and support of claims utilizing direct textual evidence.  During the instruction of each unit based around each chosen text, the students will also recognize and emulate the style, voice and literary tools used by the author of each text.</w:t>
            </w: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r w:rsidR="009B627C" w:rsidRPr="00292D85">
              <w:rPr>
                <w:i/>
                <w:sz w:val="20"/>
                <w:szCs w:val="20"/>
              </w:rPr>
              <w:t>etc.</w:t>
            </w:r>
            <w:r w:rsidRPr="00292D85">
              <w:rPr>
                <w:i/>
                <w:sz w:val="20"/>
                <w:szCs w:val="20"/>
              </w:rPr>
              <w:t>)?</w:t>
            </w:r>
          </w:p>
          <w:p w:rsidR="005316CD" w:rsidRPr="00BD778C" w:rsidRDefault="003A313D" w:rsidP="00E10A04">
            <w:pPr>
              <w:spacing w:after="0" w:line="240" w:lineRule="auto"/>
              <w:rPr>
                <w:rFonts w:ascii="Arial" w:hAnsi="Arial" w:cs="Arial"/>
                <w:color w:val="4F81BD" w:themeColor="accent1"/>
                <w:sz w:val="24"/>
                <w:szCs w:val="24"/>
              </w:rPr>
            </w:pPr>
            <w:r w:rsidRPr="00DB7B3A">
              <w:rPr>
                <w:rFonts w:ascii="Arial" w:hAnsi="Arial" w:cs="Arial"/>
                <w:color w:val="4F81BD" w:themeColor="accent1"/>
                <w:sz w:val="20"/>
                <w:szCs w:val="24"/>
              </w:rPr>
              <w:t>2012 –2013</w:t>
            </w:r>
          </w:p>
          <w:p w:rsidR="005316CD" w:rsidRDefault="005316CD" w:rsidP="00E10A04">
            <w:pPr>
              <w:spacing w:after="0" w:line="240" w:lineRule="auto"/>
              <w:rPr>
                <w:rFonts w:ascii="Arial" w:hAnsi="Arial" w:cs="Arial"/>
                <w:color w:val="00000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DB7B3A" w:rsidRPr="00DB7B3A" w:rsidRDefault="00DB7B3A" w:rsidP="00DB7B3A">
            <w:pPr>
              <w:rPr>
                <w:rFonts w:ascii="Arial" w:hAnsi="Arial" w:cs="Arial"/>
                <w:color w:val="4F81BD" w:themeColor="accent1"/>
                <w:sz w:val="20"/>
                <w:szCs w:val="24"/>
              </w:rPr>
            </w:pPr>
            <w:r w:rsidRPr="00DB7B3A">
              <w:rPr>
                <w:rFonts w:ascii="Arial" w:hAnsi="Arial" w:cs="Arial"/>
                <w:color w:val="4F81BD" w:themeColor="accent1"/>
                <w:sz w:val="20"/>
                <w:szCs w:val="24"/>
              </w:rPr>
              <w:t xml:space="preserve">Baseline Assessment: </w:t>
            </w:r>
          </w:p>
          <w:p w:rsidR="00DB7B3A" w:rsidRPr="00DB7B3A" w:rsidRDefault="00DB7B3A" w:rsidP="00DB7B3A">
            <w:pPr>
              <w:pStyle w:val="ListParagraph"/>
              <w:numPr>
                <w:ilvl w:val="0"/>
                <w:numId w:val="4"/>
              </w:numPr>
              <w:rPr>
                <w:rFonts w:ascii="Arial" w:hAnsi="Arial" w:cs="Arial"/>
                <w:color w:val="4F81BD" w:themeColor="accent1"/>
                <w:sz w:val="20"/>
                <w:szCs w:val="24"/>
              </w:rPr>
            </w:pPr>
            <w:r w:rsidRPr="00DB7B3A">
              <w:rPr>
                <w:rFonts w:ascii="Arial" w:hAnsi="Arial" w:cs="Arial"/>
                <w:color w:val="4F81BD" w:themeColor="accent1"/>
                <w:sz w:val="20"/>
                <w:szCs w:val="24"/>
              </w:rPr>
              <w:t>June 2013 final exam grades</w:t>
            </w:r>
          </w:p>
          <w:p w:rsidR="00DB7B3A" w:rsidRPr="00DB7B3A" w:rsidRDefault="00DB7B3A" w:rsidP="00DB7B3A">
            <w:pPr>
              <w:pStyle w:val="ListParagraph"/>
              <w:numPr>
                <w:ilvl w:val="0"/>
                <w:numId w:val="4"/>
              </w:numPr>
              <w:rPr>
                <w:rFonts w:ascii="Arial" w:hAnsi="Arial" w:cs="Arial"/>
                <w:color w:val="4F81BD" w:themeColor="accent1"/>
                <w:sz w:val="20"/>
                <w:szCs w:val="24"/>
              </w:rPr>
            </w:pPr>
            <w:r w:rsidRPr="00DB7B3A">
              <w:rPr>
                <w:rFonts w:ascii="Arial" w:hAnsi="Arial" w:cs="Arial"/>
                <w:color w:val="4F81BD" w:themeColor="accent1"/>
                <w:sz w:val="20"/>
                <w:szCs w:val="24"/>
              </w:rPr>
              <w:t>MP grades for 2011/2012</w:t>
            </w:r>
          </w:p>
          <w:p w:rsidR="00DB7B3A" w:rsidRPr="00DB7B3A" w:rsidRDefault="00DB7B3A" w:rsidP="00DB7B3A">
            <w:pPr>
              <w:pStyle w:val="ListParagraph"/>
              <w:numPr>
                <w:ilvl w:val="0"/>
                <w:numId w:val="4"/>
              </w:numPr>
              <w:rPr>
                <w:rFonts w:ascii="Arial" w:hAnsi="Arial" w:cs="Arial"/>
                <w:color w:val="4F81BD" w:themeColor="accent1"/>
                <w:sz w:val="20"/>
                <w:szCs w:val="24"/>
              </w:rPr>
            </w:pPr>
            <w:r w:rsidRPr="00DB7B3A">
              <w:rPr>
                <w:rFonts w:ascii="Arial" w:hAnsi="Arial" w:cs="Arial"/>
                <w:color w:val="4F81BD" w:themeColor="accent1"/>
                <w:sz w:val="20"/>
                <w:szCs w:val="24"/>
              </w:rPr>
              <w:t>Modified 2011 Regents Examination (Assessment will primarily include short-answer and multiple-choice responses to isolated passages of literature):Read 2 passages from the 2011 June Regents and answer a total of 15 multiple-choice questions  and one short answer response for each.</w:t>
            </w:r>
          </w:p>
          <w:p w:rsidR="00DB7B3A" w:rsidRPr="00DB7B3A" w:rsidRDefault="00DB7B3A" w:rsidP="00DB7B3A">
            <w:pPr>
              <w:pStyle w:val="ListParagraph"/>
              <w:spacing w:after="0" w:line="240" w:lineRule="auto"/>
              <w:ind w:left="0"/>
              <w:rPr>
                <w:rFonts w:ascii="Arial" w:hAnsi="Arial" w:cs="Arial"/>
                <w:color w:val="4F81BD" w:themeColor="accent1"/>
                <w:sz w:val="20"/>
                <w:szCs w:val="24"/>
              </w:rPr>
            </w:pPr>
          </w:p>
          <w:p w:rsidR="005316CD" w:rsidRPr="000551D7" w:rsidRDefault="00DB7B3A" w:rsidP="00DB7B3A">
            <w:pPr>
              <w:pStyle w:val="ListParagraph"/>
              <w:spacing w:after="0" w:line="240" w:lineRule="auto"/>
              <w:ind w:left="0"/>
              <w:rPr>
                <w:rFonts w:ascii="Arial" w:hAnsi="Arial" w:cs="Arial"/>
                <w:color w:val="000000"/>
                <w:sz w:val="20"/>
                <w:szCs w:val="20"/>
              </w:rPr>
            </w:pPr>
            <w:r w:rsidRPr="00DB7B3A">
              <w:rPr>
                <w:rFonts w:ascii="Arial" w:hAnsi="Arial" w:cs="Arial"/>
                <w:color w:val="4F81BD" w:themeColor="accent1"/>
                <w:sz w:val="20"/>
                <w:szCs w:val="24"/>
              </w:rPr>
              <w:t>Summative Assessment: 2012 Comprehensive English Regents Examination</w:t>
            </w: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DB7B3A" w:rsidRPr="00DB7B3A" w:rsidRDefault="00DB7B3A" w:rsidP="00DB7B3A">
            <w:pPr>
              <w:rPr>
                <w:rFonts w:ascii="Arial" w:hAnsi="Arial" w:cs="Arial"/>
                <w:color w:val="4F81BD" w:themeColor="accent1"/>
                <w:sz w:val="20"/>
                <w:szCs w:val="24"/>
              </w:rPr>
            </w:pPr>
            <w:r w:rsidRPr="00DB7B3A">
              <w:rPr>
                <w:rFonts w:ascii="Arial" w:hAnsi="Arial" w:cs="Arial"/>
                <w:color w:val="4F81BD" w:themeColor="accent1"/>
                <w:sz w:val="20"/>
                <w:szCs w:val="24"/>
              </w:rPr>
              <w:t>On last</w:t>
            </w:r>
            <w:r>
              <w:rPr>
                <w:rFonts w:ascii="Arial" w:hAnsi="Arial" w:cs="Arial"/>
                <w:color w:val="4F81BD" w:themeColor="accent1"/>
                <w:sz w:val="20"/>
                <w:szCs w:val="24"/>
              </w:rPr>
              <w:t xml:space="preserve"> year's ELA 10 Post-assessment: </w:t>
            </w:r>
            <w:r w:rsidRPr="00DB7B3A">
              <w:rPr>
                <w:rFonts w:ascii="Arial" w:hAnsi="Arial" w:cs="Arial"/>
                <w:color w:val="4F81BD" w:themeColor="accent1"/>
                <w:sz w:val="20"/>
                <w:szCs w:val="24"/>
              </w:rPr>
              <w:t>64 and below: 6%; 65 to 85: 55%; 86-95: 35%; 95-100: 4%</w:t>
            </w:r>
          </w:p>
          <w:p w:rsidR="00DB7B3A" w:rsidRPr="00DB7B3A" w:rsidRDefault="00DB7B3A" w:rsidP="00DB7B3A">
            <w:pPr>
              <w:rPr>
                <w:rFonts w:ascii="Arial" w:hAnsi="Arial" w:cs="Arial"/>
                <w:color w:val="4F81BD" w:themeColor="accent1"/>
                <w:sz w:val="20"/>
                <w:szCs w:val="24"/>
              </w:rPr>
            </w:pPr>
            <w:r w:rsidRPr="00DB7B3A">
              <w:rPr>
                <w:rFonts w:ascii="Arial" w:hAnsi="Arial" w:cs="Arial"/>
                <w:color w:val="4F81BD" w:themeColor="accent1"/>
                <w:sz w:val="20"/>
                <w:szCs w:val="24"/>
              </w:rPr>
              <w:t>MP grades from</w:t>
            </w:r>
            <w:r>
              <w:rPr>
                <w:rFonts w:ascii="Arial" w:hAnsi="Arial" w:cs="Arial"/>
                <w:color w:val="4F81BD" w:themeColor="accent1"/>
                <w:sz w:val="20"/>
                <w:szCs w:val="24"/>
              </w:rPr>
              <w:t xml:space="preserve"> ELA10: </w:t>
            </w:r>
            <w:r w:rsidRPr="00DB7B3A">
              <w:rPr>
                <w:rFonts w:ascii="Arial" w:hAnsi="Arial" w:cs="Arial"/>
                <w:color w:val="4F81BD" w:themeColor="accent1"/>
                <w:sz w:val="20"/>
                <w:szCs w:val="24"/>
              </w:rPr>
              <w:t>64 and below: 8%; 65 to 85: 55%; 86-95: 35%; 95-100: 2%</w:t>
            </w:r>
          </w:p>
          <w:p w:rsidR="005316CD" w:rsidRPr="00DB7B3A" w:rsidRDefault="00DB7B3A" w:rsidP="00DB7B3A">
            <w:pPr>
              <w:rPr>
                <w:rFonts w:ascii="Arial" w:hAnsi="Arial" w:cs="Arial"/>
                <w:color w:val="4F81BD" w:themeColor="accent1"/>
                <w:sz w:val="20"/>
                <w:szCs w:val="24"/>
              </w:rPr>
            </w:pPr>
            <w:r>
              <w:rPr>
                <w:rFonts w:ascii="Arial" w:hAnsi="Arial" w:cs="Arial"/>
                <w:color w:val="4F81BD" w:themeColor="accent1"/>
                <w:sz w:val="20"/>
                <w:szCs w:val="24"/>
              </w:rPr>
              <w:t xml:space="preserve">Pre-assessment: </w:t>
            </w:r>
            <w:r w:rsidRPr="00DB7B3A">
              <w:rPr>
                <w:rFonts w:ascii="Arial" w:hAnsi="Arial" w:cs="Arial"/>
                <w:color w:val="4F81BD" w:themeColor="accent1"/>
                <w:sz w:val="20"/>
                <w:szCs w:val="24"/>
              </w:rPr>
              <w:t>64 and below: 10%; 65 to 85: 60%; 86-95: 27%; 95-100: 3%</w:t>
            </w: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292D85" w:rsidRDefault="00DB7B3A" w:rsidP="00906EA5">
            <w:pPr>
              <w:rPr>
                <w:i/>
                <w:sz w:val="20"/>
                <w:szCs w:val="20"/>
              </w:rPr>
            </w:pPr>
            <w:r w:rsidRPr="00DB7B3A">
              <w:rPr>
                <w:rFonts w:ascii="Arial" w:hAnsi="Arial" w:cs="Arial"/>
                <w:color w:val="4F81BD" w:themeColor="accent1"/>
                <w:sz w:val="20"/>
                <w:szCs w:val="24"/>
              </w:rPr>
              <w:t>After analyzing the results of the pre-assessment and baseline measured from the previous academic year and considering historic data, the target is that 80% of our English 11 students will achieve an 80% or above.</w:t>
            </w:r>
          </w:p>
        </w:tc>
      </w:tr>
      <w:tr w:rsidR="005316CD" w:rsidRPr="00292D85" w:rsidTr="00DB7B3A">
        <w:trPr>
          <w:trHeight w:val="1152"/>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DD7BEB" w:rsidRDefault="00F33ADC" w:rsidP="00906EA5">
            <w:pPr>
              <w:rPr>
                <w:rFonts w:ascii="Arial" w:hAnsi="Arial" w:cs="Arial"/>
                <w:color w:val="4F81BD" w:themeColor="accent1"/>
                <w:sz w:val="20"/>
                <w:szCs w:val="24"/>
              </w:rPr>
            </w:pPr>
            <w:r w:rsidRPr="00DD7BEB">
              <w:rPr>
                <w:rFonts w:ascii="Arial" w:hAnsi="Arial" w:cs="Arial"/>
                <w:color w:val="4F81BD" w:themeColor="accent1"/>
                <w:sz w:val="20"/>
                <w:szCs w:val="24"/>
              </w:rPr>
              <w:t>See ranges below.</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3B609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76"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610"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5316CD" w:rsidRPr="00292D85" w:rsidTr="003B609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76"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18"/>
              </w:rPr>
            </w:pPr>
            <w:r w:rsidRPr="00BD778C">
              <w:rPr>
                <w:rFonts w:ascii="Arial" w:hAnsi="Arial" w:cs="Arial"/>
                <w:color w:val="4F81BD" w:themeColor="accent1"/>
                <w:sz w:val="18"/>
                <w:szCs w:val="18"/>
              </w:rPr>
              <w:t xml:space="preserve"> </w:t>
            </w:r>
            <w:r w:rsidR="00F33ADC" w:rsidRPr="00BD778C">
              <w:rPr>
                <w:rFonts w:ascii="Arial" w:hAnsi="Arial" w:cs="Arial"/>
                <w:color w:val="4F81BD" w:themeColor="accent1"/>
                <w:sz w:val="18"/>
                <w:szCs w:val="18"/>
              </w:rPr>
              <w:t>99-100%</w:t>
            </w:r>
          </w:p>
        </w:tc>
        <w:tc>
          <w:tcPr>
            <w:tcW w:w="610"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 xml:space="preserve"> </w:t>
            </w:r>
            <w:r w:rsidR="00F33ADC" w:rsidRPr="00BD778C">
              <w:rPr>
                <w:rFonts w:ascii="Arial" w:hAnsi="Arial" w:cs="Arial"/>
                <w:color w:val="4F81BD" w:themeColor="accent1"/>
                <w:sz w:val="18"/>
                <w:szCs w:val="20"/>
              </w:rPr>
              <w:t>97-98</w:t>
            </w:r>
            <w:r w:rsidR="003B6099" w:rsidRPr="00BD778C">
              <w:rPr>
                <w:rFonts w:ascii="Arial" w:hAnsi="Arial" w:cs="Arial"/>
                <w:color w:val="4F81BD" w:themeColor="accent1"/>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 xml:space="preserve"> </w:t>
            </w:r>
            <w:r w:rsidR="003B6099" w:rsidRPr="00BD778C">
              <w:rPr>
                <w:rFonts w:ascii="Arial" w:hAnsi="Arial" w:cs="Arial"/>
                <w:color w:val="4F81BD" w:themeColor="accent1"/>
                <w:sz w:val="18"/>
                <w:szCs w:val="20"/>
              </w:rPr>
              <w:t>95-96%</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 xml:space="preserve"> </w:t>
            </w:r>
            <w:r w:rsidR="003B6099" w:rsidRPr="00BD778C">
              <w:rPr>
                <w:rFonts w:ascii="Arial" w:hAnsi="Arial" w:cs="Arial"/>
                <w:color w:val="4F81BD" w:themeColor="accent1"/>
                <w:sz w:val="18"/>
                <w:szCs w:val="20"/>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 xml:space="preserve"> </w:t>
            </w:r>
            <w:r w:rsidR="003B6099" w:rsidRPr="00BD778C">
              <w:rPr>
                <w:rFonts w:ascii="Arial" w:hAnsi="Arial" w:cs="Arial"/>
                <w:color w:val="4F81BD" w:themeColor="accent1"/>
                <w:sz w:val="18"/>
                <w:szCs w:val="20"/>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3B6099"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85-87%</w:t>
            </w:r>
            <w:r w:rsidR="005316CD" w:rsidRPr="00BD778C">
              <w:rPr>
                <w:rFonts w:ascii="Arial" w:hAnsi="Arial" w:cs="Arial"/>
                <w:color w:val="4F81BD" w:themeColor="accent1"/>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BD778C" w:rsidRDefault="00F33ADC"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82-84</w:t>
            </w:r>
            <w:r w:rsidR="003B6099" w:rsidRPr="00BD778C">
              <w:rPr>
                <w:rFonts w:ascii="Arial" w:hAnsi="Arial" w:cs="Arial"/>
                <w:color w:val="4F81BD" w:themeColor="accent1"/>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F33ADC"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79-81</w:t>
            </w:r>
            <w:r w:rsidR="003B6099" w:rsidRPr="00BD778C">
              <w:rPr>
                <w:rFonts w:ascii="Arial" w:hAnsi="Arial" w:cs="Arial"/>
                <w:color w:val="4F81BD" w:themeColor="accent1"/>
                <w:sz w:val="18"/>
                <w:szCs w:val="20"/>
              </w:rPr>
              <w:t>%</w:t>
            </w:r>
            <w:r w:rsidR="005316CD" w:rsidRPr="00BD778C">
              <w:rPr>
                <w:rFonts w:ascii="Arial" w:hAnsi="Arial" w:cs="Arial"/>
                <w:color w:val="4F81BD" w:themeColor="accent1"/>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 xml:space="preserve"> </w:t>
            </w:r>
            <w:r w:rsidR="003B6099" w:rsidRPr="00BD778C">
              <w:rPr>
                <w:rFonts w:ascii="Arial" w:hAnsi="Arial" w:cs="Arial"/>
                <w:color w:val="4F81BD" w:themeColor="accent1"/>
                <w:sz w:val="18"/>
                <w:szCs w:val="20"/>
              </w:rPr>
              <w:t>76-78%</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3B6099"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73-75%</w:t>
            </w:r>
            <w:r w:rsidR="005316CD" w:rsidRPr="00BD778C">
              <w:rPr>
                <w:rFonts w:ascii="Arial" w:hAnsi="Arial" w:cs="Arial"/>
                <w:color w:val="4F81BD" w:themeColor="accent1"/>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 xml:space="preserve"> </w:t>
            </w:r>
            <w:r w:rsidR="003B6099" w:rsidRPr="00BD778C">
              <w:rPr>
                <w:rFonts w:ascii="Arial" w:hAnsi="Arial" w:cs="Arial"/>
                <w:color w:val="4F81BD" w:themeColor="accent1"/>
                <w:sz w:val="18"/>
                <w:szCs w:val="20"/>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 xml:space="preserve"> </w:t>
            </w:r>
            <w:r w:rsidR="003B6099" w:rsidRPr="00BD778C">
              <w:rPr>
                <w:rFonts w:ascii="Arial" w:hAnsi="Arial" w:cs="Arial"/>
                <w:color w:val="4F81BD" w:themeColor="accent1"/>
                <w:sz w:val="18"/>
                <w:szCs w:val="20"/>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 xml:space="preserve"> </w:t>
            </w:r>
            <w:r w:rsidR="003B6099" w:rsidRPr="00BD778C">
              <w:rPr>
                <w:rFonts w:ascii="Arial" w:hAnsi="Arial" w:cs="Arial"/>
                <w:color w:val="4F81BD" w:themeColor="accent1"/>
                <w:sz w:val="18"/>
                <w:szCs w:val="20"/>
              </w:rPr>
              <w:t>64-67%</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0"/>
              </w:rPr>
            </w:pPr>
            <w:r w:rsidRPr="00BD778C">
              <w:rPr>
                <w:rFonts w:ascii="Arial" w:hAnsi="Arial" w:cs="Arial"/>
                <w:color w:val="4F81BD" w:themeColor="accent1"/>
                <w:sz w:val="18"/>
                <w:szCs w:val="20"/>
              </w:rPr>
              <w:t xml:space="preserve"> </w:t>
            </w:r>
            <w:r w:rsidR="003B6099" w:rsidRPr="00BD778C">
              <w:rPr>
                <w:rFonts w:ascii="Arial" w:hAnsi="Arial" w:cs="Arial"/>
                <w:color w:val="4F81BD" w:themeColor="accent1"/>
                <w:sz w:val="18"/>
                <w:szCs w:val="20"/>
              </w:rPr>
              <w:t>60-63%</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8"/>
              </w:rPr>
            </w:pPr>
            <w:r w:rsidRPr="00BD778C">
              <w:rPr>
                <w:rFonts w:ascii="Arial" w:hAnsi="Arial" w:cs="Arial"/>
                <w:color w:val="4F81BD" w:themeColor="accent1"/>
                <w:sz w:val="18"/>
                <w:szCs w:val="28"/>
              </w:rPr>
              <w:t xml:space="preserve"> </w:t>
            </w:r>
            <w:r w:rsidR="003B6099" w:rsidRPr="00BD778C">
              <w:rPr>
                <w:rFonts w:ascii="Arial" w:hAnsi="Arial" w:cs="Arial"/>
                <w:color w:val="4F81BD" w:themeColor="accent1"/>
                <w:sz w:val="18"/>
                <w:szCs w:val="28"/>
              </w:rPr>
              <w:t>57-59%</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8"/>
              </w:rPr>
            </w:pPr>
            <w:r w:rsidRPr="00BD778C">
              <w:rPr>
                <w:rFonts w:ascii="Arial" w:hAnsi="Arial" w:cs="Arial"/>
                <w:color w:val="4F81BD" w:themeColor="accent1"/>
                <w:sz w:val="18"/>
                <w:szCs w:val="28"/>
              </w:rPr>
              <w:t xml:space="preserve"> </w:t>
            </w:r>
            <w:r w:rsidR="003B6099" w:rsidRPr="00BD778C">
              <w:rPr>
                <w:rFonts w:ascii="Arial" w:hAnsi="Arial" w:cs="Arial"/>
                <w:color w:val="4F81BD" w:themeColor="accent1"/>
                <w:sz w:val="18"/>
                <w:szCs w:val="28"/>
              </w:rPr>
              <w:t>53-56%</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8"/>
              </w:rPr>
            </w:pPr>
            <w:r w:rsidRPr="00BD778C">
              <w:rPr>
                <w:rFonts w:ascii="Arial" w:hAnsi="Arial" w:cs="Arial"/>
                <w:color w:val="4F81BD" w:themeColor="accent1"/>
                <w:sz w:val="18"/>
                <w:szCs w:val="28"/>
              </w:rPr>
              <w:t xml:space="preserve"> </w:t>
            </w:r>
            <w:r w:rsidR="003B6099" w:rsidRPr="00BD778C">
              <w:rPr>
                <w:rFonts w:ascii="Arial" w:hAnsi="Arial" w:cs="Arial"/>
                <w:color w:val="4F81BD" w:themeColor="accent1"/>
                <w:sz w:val="18"/>
                <w:szCs w:val="28"/>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3B6099" w:rsidP="00F33ADC">
            <w:pPr>
              <w:spacing w:after="0" w:line="240" w:lineRule="auto"/>
              <w:rPr>
                <w:rFonts w:ascii="Arial" w:hAnsi="Arial" w:cs="Arial"/>
                <w:color w:val="4F81BD" w:themeColor="accent1"/>
                <w:sz w:val="18"/>
                <w:szCs w:val="28"/>
              </w:rPr>
            </w:pPr>
            <w:r w:rsidRPr="00BD778C">
              <w:rPr>
                <w:rFonts w:ascii="Arial" w:hAnsi="Arial" w:cs="Arial"/>
                <w:color w:val="4F81BD" w:themeColor="accent1"/>
                <w:sz w:val="18"/>
                <w:szCs w:val="28"/>
              </w:rPr>
              <w:t>45-48%</w:t>
            </w:r>
            <w:r w:rsidR="005316CD" w:rsidRPr="00BD778C">
              <w:rPr>
                <w:rFonts w:ascii="Arial" w:hAnsi="Arial" w:cs="Arial"/>
                <w:color w:val="4F81BD" w:themeColor="accent1"/>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8"/>
              </w:rPr>
            </w:pPr>
            <w:r w:rsidRPr="00BD778C">
              <w:rPr>
                <w:rFonts w:ascii="Arial" w:hAnsi="Arial" w:cs="Arial"/>
                <w:color w:val="4F81BD" w:themeColor="accent1"/>
                <w:sz w:val="18"/>
                <w:szCs w:val="28"/>
              </w:rPr>
              <w:t xml:space="preserve"> </w:t>
            </w:r>
            <w:r w:rsidR="003B6099" w:rsidRPr="00BD778C">
              <w:rPr>
                <w:rFonts w:ascii="Arial" w:hAnsi="Arial" w:cs="Arial"/>
                <w:color w:val="4F81BD" w:themeColor="accent1"/>
                <w:sz w:val="18"/>
                <w:szCs w:val="28"/>
              </w:rPr>
              <w:t>40-44%</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8"/>
              </w:rPr>
            </w:pPr>
            <w:r w:rsidRPr="00BD778C">
              <w:rPr>
                <w:rFonts w:ascii="Arial" w:hAnsi="Arial" w:cs="Arial"/>
                <w:color w:val="4F81BD" w:themeColor="accent1"/>
                <w:sz w:val="18"/>
                <w:szCs w:val="28"/>
              </w:rPr>
              <w:t xml:space="preserve"> </w:t>
            </w:r>
            <w:r w:rsidR="003B6099" w:rsidRPr="00BD778C">
              <w:rPr>
                <w:rFonts w:ascii="Arial" w:hAnsi="Arial" w:cs="Arial"/>
                <w:color w:val="4F81BD" w:themeColor="accent1"/>
                <w:sz w:val="18"/>
                <w:szCs w:val="28"/>
              </w:rPr>
              <w:t>30-39%</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BD778C" w:rsidRDefault="005316CD" w:rsidP="00F33ADC">
            <w:pPr>
              <w:spacing w:after="0" w:line="240" w:lineRule="auto"/>
              <w:rPr>
                <w:rFonts w:ascii="Arial" w:hAnsi="Arial" w:cs="Arial"/>
                <w:color w:val="4F81BD" w:themeColor="accent1"/>
                <w:sz w:val="18"/>
                <w:szCs w:val="28"/>
              </w:rPr>
            </w:pPr>
            <w:r w:rsidRPr="00BD778C">
              <w:rPr>
                <w:rFonts w:ascii="Arial" w:hAnsi="Arial" w:cs="Arial"/>
                <w:color w:val="4F81BD" w:themeColor="accent1"/>
                <w:sz w:val="18"/>
                <w:szCs w:val="28"/>
              </w:rPr>
              <w:t xml:space="preserve"> </w:t>
            </w:r>
            <w:r w:rsidR="007940EB" w:rsidRPr="00BD778C">
              <w:rPr>
                <w:rFonts w:ascii="Arial" w:hAnsi="Arial" w:cs="Arial"/>
                <w:color w:val="4F81BD" w:themeColor="accent1"/>
                <w:sz w:val="18"/>
                <w:szCs w:val="28"/>
              </w:rPr>
              <w:t>&lt;30%</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DB7B3A" w:rsidRPr="00DB7B3A" w:rsidRDefault="00DB7B3A" w:rsidP="00DB7B3A">
            <w:pPr>
              <w:rPr>
                <w:rFonts w:ascii="Arial" w:hAnsi="Arial" w:cs="Arial"/>
                <w:color w:val="4F81BD" w:themeColor="accent1"/>
                <w:sz w:val="20"/>
                <w:szCs w:val="24"/>
              </w:rPr>
            </w:pPr>
            <w:r w:rsidRPr="00DB7B3A">
              <w:rPr>
                <w:rFonts w:ascii="Arial" w:hAnsi="Arial" w:cs="Arial"/>
                <w:color w:val="4F81BD" w:themeColor="accent1"/>
                <w:sz w:val="20"/>
                <w:szCs w:val="24"/>
              </w:rPr>
              <w:t>The Learning Content is based on the CCLS anchor standards. The baseline evidence combines the results of the 10th grade post-assessment with the result of the 11th grade pre-assessment developed by district personnel, which exists as a modified version of the post-assessment Regents examination.</w:t>
            </w:r>
          </w:p>
          <w:p w:rsidR="005316CD" w:rsidRPr="00E10A04" w:rsidRDefault="00DB7B3A" w:rsidP="00DB7B3A">
            <w:pPr>
              <w:spacing w:after="0" w:line="240" w:lineRule="auto"/>
              <w:rPr>
                <w:rFonts w:ascii="Arial" w:hAnsi="Arial" w:cs="Arial"/>
                <w:color w:val="000000"/>
                <w:sz w:val="20"/>
                <w:szCs w:val="20"/>
              </w:rPr>
            </w:pPr>
            <w:r w:rsidRPr="00DB7B3A">
              <w:rPr>
                <w:rFonts w:ascii="Arial" w:hAnsi="Arial" w:cs="Arial"/>
                <w:color w:val="4F81BD" w:themeColor="accent1"/>
                <w:sz w:val="20"/>
                <w:szCs w:val="24"/>
              </w:rPr>
              <w:t>The summative assessment is the 2013 June Regents Examination, as required.  The summative score is calculated by the provided state rubric.</w:t>
            </w: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78" w:rsidRDefault="00E74078" w:rsidP="005673D9">
      <w:pPr>
        <w:spacing w:after="0" w:line="240" w:lineRule="auto"/>
      </w:pPr>
      <w:r>
        <w:separator/>
      </w:r>
    </w:p>
  </w:endnote>
  <w:endnote w:type="continuationSeparator" w:id="0">
    <w:p w:rsidR="00E74078" w:rsidRDefault="00E74078"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CD" w:rsidRPr="005673D9" w:rsidRDefault="00351FC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78" w:rsidRDefault="00E74078" w:rsidP="005673D9">
      <w:pPr>
        <w:spacing w:after="0" w:line="240" w:lineRule="auto"/>
      </w:pPr>
      <w:r>
        <w:separator/>
      </w:r>
    </w:p>
  </w:footnote>
  <w:footnote w:type="continuationSeparator" w:id="0">
    <w:p w:rsidR="00E74078" w:rsidRDefault="00E74078"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9D97D56"/>
    <w:multiLevelType w:val="hybridMultilevel"/>
    <w:tmpl w:val="589CD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85C9D"/>
    <w:rsid w:val="000A1D8C"/>
    <w:rsid w:val="002501BC"/>
    <w:rsid w:val="00292D85"/>
    <w:rsid w:val="002E504F"/>
    <w:rsid w:val="00351FCD"/>
    <w:rsid w:val="003A313D"/>
    <w:rsid w:val="003A7612"/>
    <w:rsid w:val="003B6099"/>
    <w:rsid w:val="003C2591"/>
    <w:rsid w:val="004462A2"/>
    <w:rsid w:val="004D7BF3"/>
    <w:rsid w:val="005316CD"/>
    <w:rsid w:val="00544597"/>
    <w:rsid w:val="00544D05"/>
    <w:rsid w:val="00566A85"/>
    <w:rsid w:val="005673D9"/>
    <w:rsid w:val="00650CF7"/>
    <w:rsid w:val="006D3DA1"/>
    <w:rsid w:val="00736D27"/>
    <w:rsid w:val="00766A97"/>
    <w:rsid w:val="007940EB"/>
    <w:rsid w:val="007A32CD"/>
    <w:rsid w:val="007F7439"/>
    <w:rsid w:val="00805767"/>
    <w:rsid w:val="008A6B39"/>
    <w:rsid w:val="008F7C3A"/>
    <w:rsid w:val="00906EA5"/>
    <w:rsid w:val="00982347"/>
    <w:rsid w:val="00983166"/>
    <w:rsid w:val="009A335E"/>
    <w:rsid w:val="009B627C"/>
    <w:rsid w:val="00A16037"/>
    <w:rsid w:val="00A22D1D"/>
    <w:rsid w:val="00A540B7"/>
    <w:rsid w:val="00A726EE"/>
    <w:rsid w:val="00A732E2"/>
    <w:rsid w:val="00BD778C"/>
    <w:rsid w:val="00C73358"/>
    <w:rsid w:val="00D74694"/>
    <w:rsid w:val="00DB7B3A"/>
    <w:rsid w:val="00DD7BEB"/>
    <w:rsid w:val="00E10A04"/>
    <w:rsid w:val="00E36F46"/>
    <w:rsid w:val="00E74078"/>
    <w:rsid w:val="00F01284"/>
    <w:rsid w:val="00F33ADC"/>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604</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7</cp:revision>
  <cp:lastPrinted>2012-05-08T10:54:00Z</cp:lastPrinted>
  <dcterms:created xsi:type="dcterms:W3CDTF">2012-05-01T21:05:00Z</dcterms:created>
  <dcterms:modified xsi:type="dcterms:W3CDTF">2012-05-08T10:54:00Z</dcterms:modified>
</cp:coreProperties>
</file>