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 xml:space="preserve">ent Learning Objective: </w:t>
      </w:r>
      <w:r w:rsidR="001A593E">
        <w:rPr>
          <w:rFonts w:ascii="Gill Sans MT" w:hAnsi="Gill Sans MT"/>
          <w:b/>
          <w:color w:val="0070C0"/>
          <w:sz w:val="32"/>
        </w:rPr>
        <w:t>Algebra 2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1A593E" w:rsidRDefault="00D224C5" w:rsidP="004462A2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Two sections of Honors Algebra II (60 students total)</w:t>
            </w: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to specific priority standards? </w:t>
            </w:r>
          </w:p>
          <w:p w:rsidR="00BF629E" w:rsidRPr="001A593E" w:rsidRDefault="00BF629E" w:rsidP="009A335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The following are based upon Common Core Standards.</w:t>
            </w:r>
          </w:p>
          <w:p w:rsidR="004A4583" w:rsidRPr="001A593E" w:rsidRDefault="004A4583" w:rsidP="009A335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Students will use their knowledge of functions (linear, quadratic, exponential, polynomial, rational, and radical) algebraically, to solve problems, and to model real-world situations.</w:t>
            </w:r>
          </w:p>
          <w:p w:rsidR="00E90DF5" w:rsidRPr="001A593E" w:rsidRDefault="00E90DF5" w:rsidP="009A335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Students will use their knowledge of trigonometry to model periodic phenomena.</w:t>
            </w:r>
          </w:p>
          <w:p w:rsidR="005316CD" w:rsidRPr="00404D78" w:rsidRDefault="00CA2573" w:rsidP="00404D78">
            <w:pPr>
              <w:rPr>
                <w:color w:val="0070C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Students will build upon their prior knowledge of probability and statistics to draw inferences and conclusions from data.</w:t>
            </w:r>
            <w:r w:rsidR="004A4583" w:rsidRPr="001A593E">
              <w:rPr>
                <w:color w:val="7030A0"/>
                <w:sz w:val="20"/>
                <w:szCs w:val="20"/>
              </w:rPr>
              <w:t xml:space="preserve"> </w:t>
            </w: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BF629E" w:rsidRDefault="005316CD" w:rsidP="00906EA5">
            <w:pPr>
              <w:rPr>
                <w:i/>
                <w:sz w:val="20"/>
                <w:szCs w:val="20"/>
              </w:rPr>
            </w:pPr>
            <w:r w:rsidRPr="00BF629E">
              <w:rPr>
                <w:i/>
                <w:sz w:val="20"/>
                <w:szCs w:val="20"/>
              </w:rPr>
              <w:t>What is the instructional period covered (if not a year, rationale for semester/quarter/etc)?</w:t>
            </w:r>
          </w:p>
          <w:p w:rsidR="005316CD" w:rsidRPr="001A593E" w:rsidRDefault="001A593E" w:rsidP="00E10A04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2012-2013 school year</w:t>
            </w:r>
          </w:p>
          <w:p w:rsidR="005316CD" w:rsidRPr="00BF629E" w:rsidRDefault="005316CD" w:rsidP="00E10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5316CD" w:rsidRPr="001A593E" w:rsidRDefault="00BF629E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Baseline Assessment:</w:t>
            </w:r>
            <w:r w:rsidR="00113FF4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NYS Algebra I and Geometry Regents Examination results.  Also, in September of each year, students will take a </w:t>
            </w:r>
            <w:r w:rsidR="001702AC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locally </w:t>
            </w:r>
            <w:r w:rsidR="00113FF4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developed assessment </w:t>
            </w:r>
            <w:r w:rsidR="00010200" w:rsidRPr="001A593E">
              <w:rPr>
                <w:rFonts w:ascii="Arial" w:hAnsi="Arial" w:cs="Arial"/>
                <w:color w:val="7030A0"/>
                <w:sz w:val="20"/>
                <w:szCs w:val="20"/>
              </w:rPr>
              <w:t>based on</w:t>
            </w:r>
            <w:r w:rsidR="00113FF4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critical Algebra I and Geometry skills needed for Algebra II.</w:t>
            </w:r>
          </w:p>
          <w:p w:rsidR="005316CD" w:rsidRPr="000551D7" w:rsidRDefault="00BF629E" w:rsidP="007A23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Summative Assessment: NYS Regents Examination in Algebra II and Trigonometry</w:t>
            </w:r>
            <w:r w:rsidR="00010200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.  </w:t>
            </w: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5316CD" w:rsidRPr="001A593E" w:rsidRDefault="00C4577B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On </w:t>
            </w:r>
            <w:r w:rsidR="000141A1" w:rsidRPr="001A593E">
              <w:rPr>
                <w:rFonts w:ascii="Arial" w:hAnsi="Arial" w:cs="Arial"/>
                <w:color w:val="7030A0"/>
                <w:sz w:val="20"/>
                <w:szCs w:val="20"/>
              </w:rPr>
              <w:t>the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Geometry Regents</w:t>
            </w:r>
            <w:r w:rsidR="000141A1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from last year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: 55 </w:t>
            </w:r>
            <w:r w:rsidR="000141A1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(92%) 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students were at mastery and 5 </w:t>
            </w:r>
            <w:r w:rsidR="000141A1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(8%) 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students were below mastery (but passed the exam)</w:t>
            </w:r>
            <w:r w:rsidR="001702AC" w:rsidRPr="001A593E">
              <w:rPr>
                <w:rFonts w:ascii="Arial" w:hAnsi="Arial" w:cs="Arial"/>
                <w:color w:val="7030A0"/>
                <w:sz w:val="20"/>
                <w:szCs w:val="20"/>
              </w:rPr>
              <w:t>.</w:t>
            </w:r>
          </w:p>
          <w:p w:rsidR="00C4577B" w:rsidRPr="001A593E" w:rsidRDefault="00C4577B" w:rsidP="00C4577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On </w:t>
            </w:r>
            <w:r w:rsidR="000141A1" w:rsidRPr="001A593E">
              <w:rPr>
                <w:rFonts w:ascii="Arial" w:hAnsi="Arial" w:cs="Arial"/>
                <w:color w:val="7030A0"/>
                <w:sz w:val="20"/>
                <w:szCs w:val="20"/>
              </w:rPr>
              <w:t>the Algebra I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Regents</w:t>
            </w:r>
            <w:r w:rsidR="000141A1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from 2 years ago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: 55 </w:t>
            </w:r>
            <w:r w:rsidR="000141A1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(92%) 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students were at mastery and 5</w:t>
            </w:r>
            <w:r w:rsidR="000141A1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(8%)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students were below mastery (but passed the 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lastRenderedPageBreak/>
              <w:t>exam)</w:t>
            </w:r>
            <w:r w:rsidR="001702AC" w:rsidRPr="001A593E">
              <w:rPr>
                <w:rFonts w:ascii="Arial" w:hAnsi="Arial" w:cs="Arial"/>
                <w:color w:val="7030A0"/>
                <w:sz w:val="20"/>
                <w:szCs w:val="20"/>
              </w:rPr>
              <w:t>.</w:t>
            </w:r>
          </w:p>
          <w:p w:rsidR="005316CD" w:rsidRPr="00404D78" w:rsidRDefault="000D3C6C" w:rsidP="00404D7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On the school-developed assessment of critical Algebra I and Geometry skills: 48 (80%) students were at mastery and 12 (20%) students were below master</w:t>
            </w:r>
            <w:r w:rsidR="001702AC" w:rsidRPr="001A593E">
              <w:rPr>
                <w:rFonts w:ascii="Arial" w:hAnsi="Arial" w:cs="Arial"/>
                <w:color w:val="7030A0"/>
                <w:sz w:val="20"/>
                <w:szCs w:val="20"/>
              </w:rPr>
              <w:t>y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(but passe</w:t>
            </w:r>
            <w:r w:rsidR="001702AC" w:rsidRPr="001A593E">
              <w:rPr>
                <w:rFonts w:ascii="Arial" w:hAnsi="Arial" w:cs="Arial"/>
                <w:color w:val="7030A0"/>
                <w:sz w:val="20"/>
                <w:szCs w:val="20"/>
              </w:rPr>
              <w:t>d the exam).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7A2306" w:rsidRDefault="002C10A9" w:rsidP="001702A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80% of all students will score 65% or higher on the NYS Algebra II and Trigonometry Regents Examination.</w:t>
            </w:r>
            <w:bookmarkStart w:id="0" w:name="_GoBack"/>
            <w:bookmarkEnd w:id="0"/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1A593E" w:rsidRDefault="00FF1A2F" w:rsidP="00404D7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See ranges as specified</w:t>
            </w:r>
            <w:r w:rsidR="001A593E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(scores on the two scales will be averaged for the overall points out of 20):</w:t>
            </w: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5316CD" w:rsidP="00F81E35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4"/>
                <w:szCs w:val="16"/>
              </w:rPr>
            </w:pPr>
            <w:r w:rsidRPr="001A593E">
              <w:rPr>
                <w:rFonts w:ascii="Arial" w:hAnsi="Arial" w:cs="Arial"/>
                <w:color w:val="7030A0"/>
                <w:sz w:val="14"/>
                <w:szCs w:val="16"/>
              </w:rPr>
              <w:t xml:space="preserve"> </w:t>
            </w:r>
            <w:r w:rsidR="00F81E35" w:rsidRPr="001A593E">
              <w:rPr>
                <w:rFonts w:ascii="Arial" w:hAnsi="Arial" w:cs="Arial"/>
                <w:color w:val="7030A0"/>
                <w:sz w:val="14"/>
                <w:szCs w:val="16"/>
              </w:rPr>
              <w:t xml:space="preserve"> 98-100%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5316CD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9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4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-97%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81E35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90-9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3</w:t>
            </w: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5316CD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88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89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F1A2F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86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87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F1A2F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84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85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F1A2F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82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83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81E35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79-81%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76-78%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F1A2F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73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-75%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81E35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7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0</w:t>
            </w: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-72%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F1A2F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67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69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F1A2F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62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66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5316CD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58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62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5316CD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54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57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5316CD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50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53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5316CD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4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5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="00FF1A2F" w:rsidRPr="001A593E">
              <w:rPr>
                <w:rFonts w:ascii="Arial" w:hAnsi="Arial" w:cs="Arial"/>
                <w:color w:val="7030A0"/>
                <w:sz w:val="18"/>
                <w:szCs w:val="20"/>
              </w:rPr>
              <w:t>49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F1A2F" w:rsidP="00FF1A2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40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-</w:t>
            </w: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44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81E35" w:rsidP="00F81E35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35-39%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F81E35" w:rsidP="00F81E35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0"/>
              </w:rPr>
              <w:t>30-34%</w:t>
            </w:r>
            <w:r w:rsidR="005316CD" w:rsidRPr="001A593E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A593E" w:rsidRDefault="005316CD" w:rsidP="00F81E35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1A593E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F81E35" w:rsidRPr="001A593E">
              <w:rPr>
                <w:rFonts w:ascii="Arial" w:hAnsi="Arial" w:cs="Arial"/>
                <w:color w:val="7030A0"/>
                <w:sz w:val="18"/>
                <w:szCs w:val="20"/>
              </w:rPr>
              <w:t xml:space="preserve"> &lt;30%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5316CD" w:rsidRPr="00404D78" w:rsidRDefault="00840B1D" w:rsidP="00404D7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>The Learning Content is based u</w:t>
            </w:r>
            <w:r w:rsid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pon the CCLS anchor standards. 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The baseline evidence combines NYS Regents Examination results with a school-developed assessment of skills from Algebra I and Geometry that are crucial for success in Algebra II and are </w:t>
            </w:r>
            <w:r w:rsidR="001C59E0" w:rsidRPr="001A593E">
              <w:rPr>
                <w:rFonts w:ascii="Arial" w:hAnsi="Arial" w:cs="Arial"/>
                <w:color w:val="7030A0"/>
                <w:sz w:val="20"/>
                <w:szCs w:val="20"/>
              </w:rPr>
              <w:t>based on</w:t>
            </w:r>
            <w:r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FC64DC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CCLS standards in Appendix </w:t>
            </w:r>
            <w:r w:rsidR="001A593E">
              <w:rPr>
                <w:rFonts w:ascii="Arial" w:hAnsi="Arial" w:cs="Arial"/>
                <w:color w:val="7030A0"/>
                <w:sz w:val="20"/>
                <w:szCs w:val="20"/>
              </w:rPr>
              <w:t>A.</w:t>
            </w:r>
            <w:r w:rsidR="001C59E0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8E7338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The summative assessment score is calculated by averaging the results from the NYS Algebra II Regents Examination with the results </w:t>
            </w:r>
            <w:r w:rsidR="001702AC" w:rsidRPr="001A593E">
              <w:rPr>
                <w:rFonts w:ascii="Arial" w:hAnsi="Arial" w:cs="Arial"/>
                <w:color w:val="7030A0"/>
                <w:sz w:val="20"/>
                <w:szCs w:val="20"/>
              </w:rPr>
              <w:t>from the locally</w:t>
            </w:r>
            <w:r w:rsidR="00465EA8" w:rsidRPr="001A593E">
              <w:rPr>
                <w:rFonts w:ascii="Arial" w:hAnsi="Arial" w:cs="Arial"/>
                <w:color w:val="7030A0"/>
                <w:sz w:val="20"/>
                <w:szCs w:val="20"/>
              </w:rPr>
              <w:t xml:space="preserve"> developed summative assessment which is developed based on CCLS standard in Appendix A.</w:t>
            </w:r>
          </w:p>
        </w:tc>
      </w:tr>
    </w:tbl>
    <w:p w:rsidR="005316CD" w:rsidRDefault="005316CD" w:rsidP="00404D78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1D" w:rsidRDefault="00840B1D" w:rsidP="005673D9">
      <w:pPr>
        <w:spacing w:after="0" w:line="240" w:lineRule="auto"/>
      </w:pPr>
      <w:r>
        <w:separator/>
      </w:r>
    </w:p>
  </w:endnote>
  <w:endnote w:type="continuationSeparator" w:id="0">
    <w:p w:rsidR="00840B1D" w:rsidRDefault="00840B1D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1D" w:rsidRPr="005673D9" w:rsidRDefault="00840B1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1D" w:rsidRDefault="00840B1D" w:rsidP="005673D9">
      <w:pPr>
        <w:spacing w:after="0" w:line="240" w:lineRule="auto"/>
      </w:pPr>
      <w:r>
        <w:separator/>
      </w:r>
    </w:p>
  </w:footnote>
  <w:footnote w:type="continuationSeparator" w:id="0">
    <w:p w:rsidR="00840B1D" w:rsidRDefault="00840B1D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10200"/>
    <w:rsid w:val="000141A1"/>
    <w:rsid w:val="00026025"/>
    <w:rsid w:val="000551D7"/>
    <w:rsid w:val="000D3C6C"/>
    <w:rsid w:val="00113FF4"/>
    <w:rsid w:val="001702AC"/>
    <w:rsid w:val="001A593E"/>
    <w:rsid w:val="001C59E0"/>
    <w:rsid w:val="00292D85"/>
    <w:rsid w:val="002C10A9"/>
    <w:rsid w:val="003A7612"/>
    <w:rsid w:val="003C2591"/>
    <w:rsid w:val="00404D78"/>
    <w:rsid w:val="004462A2"/>
    <w:rsid w:val="00465EA8"/>
    <w:rsid w:val="004A4583"/>
    <w:rsid w:val="004D7BF3"/>
    <w:rsid w:val="004F5C76"/>
    <w:rsid w:val="005316CD"/>
    <w:rsid w:val="00544597"/>
    <w:rsid w:val="00544D05"/>
    <w:rsid w:val="005673D9"/>
    <w:rsid w:val="005D14FE"/>
    <w:rsid w:val="005E076B"/>
    <w:rsid w:val="00650CF7"/>
    <w:rsid w:val="006B476C"/>
    <w:rsid w:val="006D3DA1"/>
    <w:rsid w:val="00736D27"/>
    <w:rsid w:val="00766A97"/>
    <w:rsid w:val="007A2306"/>
    <w:rsid w:val="00805767"/>
    <w:rsid w:val="00840B1D"/>
    <w:rsid w:val="0089117A"/>
    <w:rsid w:val="008A6B39"/>
    <w:rsid w:val="008E1E5C"/>
    <w:rsid w:val="008E7338"/>
    <w:rsid w:val="008F7C3A"/>
    <w:rsid w:val="00906EA5"/>
    <w:rsid w:val="00982347"/>
    <w:rsid w:val="009913A6"/>
    <w:rsid w:val="009A335E"/>
    <w:rsid w:val="009A4FDF"/>
    <w:rsid w:val="00A11AEC"/>
    <w:rsid w:val="00A16037"/>
    <w:rsid w:val="00A22D1D"/>
    <w:rsid w:val="00A540B7"/>
    <w:rsid w:val="00A726EE"/>
    <w:rsid w:val="00BF629E"/>
    <w:rsid w:val="00C4577B"/>
    <w:rsid w:val="00C73358"/>
    <w:rsid w:val="00CA2573"/>
    <w:rsid w:val="00D224C5"/>
    <w:rsid w:val="00E10A04"/>
    <w:rsid w:val="00E36F46"/>
    <w:rsid w:val="00E90DF5"/>
    <w:rsid w:val="00F01284"/>
    <w:rsid w:val="00F81E35"/>
    <w:rsid w:val="00FC64DC"/>
    <w:rsid w:val="00FD17BB"/>
    <w:rsid w:val="00FD353C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>Hewlett-Packard Company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jcraig</cp:lastModifiedBy>
  <cp:revision>4</cp:revision>
  <cp:lastPrinted>2012-01-12T11:10:00Z</cp:lastPrinted>
  <dcterms:created xsi:type="dcterms:W3CDTF">2012-05-03T11:17:00Z</dcterms:created>
  <dcterms:modified xsi:type="dcterms:W3CDTF">2012-05-15T15:21:00Z</dcterms:modified>
</cp:coreProperties>
</file>