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4248"/>
        <w:gridCol w:w="4500"/>
        <w:gridCol w:w="4428"/>
      </w:tblGrid>
      <w:tr w:rsidR="00495723" w:rsidRPr="0096104E" w:rsidTr="00BC2696">
        <w:tc>
          <w:tcPr>
            <w:tcW w:w="13176" w:type="dxa"/>
            <w:gridSpan w:val="3"/>
            <w:shd w:val="clear" w:color="auto" w:fill="D9D9D9" w:themeFill="background1" w:themeFillShade="D9"/>
          </w:tcPr>
          <w:p w:rsidR="00965AFB" w:rsidRPr="0096104E" w:rsidRDefault="00AB1920" w:rsidP="00DF37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104E">
              <w:rPr>
                <w:rFonts w:ascii="Arial" w:hAnsi="Arial" w:cs="Arial"/>
                <w:sz w:val="32"/>
                <w:szCs w:val="32"/>
              </w:rPr>
              <w:t xml:space="preserve">Implement </w:t>
            </w:r>
            <w:r w:rsidR="00623CB0" w:rsidRPr="0096104E">
              <w:rPr>
                <w:rFonts w:ascii="Arial" w:hAnsi="Arial" w:cs="Arial"/>
                <w:sz w:val="32"/>
                <w:szCs w:val="32"/>
              </w:rPr>
              <w:t>Common Core Learning Standards</w:t>
            </w:r>
          </w:p>
        </w:tc>
      </w:tr>
      <w:tr w:rsidR="00495723" w:rsidRPr="0096104E" w:rsidTr="00BC2696">
        <w:trPr>
          <w:trHeight w:val="288"/>
        </w:trPr>
        <w:tc>
          <w:tcPr>
            <w:tcW w:w="4248" w:type="dxa"/>
            <w:vAlign w:val="center"/>
          </w:tcPr>
          <w:p w:rsidR="00397F24" w:rsidRPr="0096104E" w:rsidRDefault="00397F24" w:rsidP="00A94476">
            <w:pPr>
              <w:jc w:val="center"/>
              <w:rPr>
                <w:rFonts w:ascii="Arial" w:hAnsi="Arial" w:cs="Arial"/>
              </w:rPr>
            </w:pPr>
            <w:r w:rsidRPr="0096104E">
              <w:rPr>
                <w:rFonts w:ascii="Arial" w:hAnsi="Arial" w:cs="Arial"/>
              </w:rPr>
              <w:t>Network Team</w:t>
            </w:r>
          </w:p>
        </w:tc>
        <w:tc>
          <w:tcPr>
            <w:tcW w:w="4500" w:type="dxa"/>
            <w:vAlign w:val="center"/>
          </w:tcPr>
          <w:p w:rsidR="00397F24" w:rsidRPr="0096104E" w:rsidRDefault="00397F24" w:rsidP="00A94476">
            <w:pPr>
              <w:jc w:val="center"/>
              <w:rPr>
                <w:rFonts w:ascii="Arial" w:hAnsi="Arial" w:cs="Arial"/>
              </w:rPr>
            </w:pPr>
            <w:r w:rsidRPr="0096104E">
              <w:rPr>
                <w:rFonts w:ascii="Arial" w:hAnsi="Arial" w:cs="Arial"/>
              </w:rPr>
              <w:t>Administrators</w:t>
            </w:r>
          </w:p>
        </w:tc>
        <w:tc>
          <w:tcPr>
            <w:tcW w:w="4428" w:type="dxa"/>
            <w:vAlign w:val="center"/>
          </w:tcPr>
          <w:p w:rsidR="00397F24" w:rsidRPr="0096104E" w:rsidRDefault="00397F24" w:rsidP="00A94476">
            <w:pPr>
              <w:jc w:val="center"/>
              <w:rPr>
                <w:rFonts w:ascii="Arial" w:hAnsi="Arial" w:cs="Arial"/>
              </w:rPr>
            </w:pPr>
            <w:r w:rsidRPr="0096104E">
              <w:rPr>
                <w:rFonts w:ascii="Arial" w:hAnsi="Arial" w:cs="Arial"/>
              </w:rPr>
              <w:t>Teachers</w:t>
            </w:r>
          </w:p>
        </w:tc>
      </w:tr>
      <w:tr w:rsidR="00495723" w:rsidRPr="0096104E" w:rsidTr="00BC2696">
        <w:trPr>
          <w:trHeight w:val="864"/>
        </w:trPr>
        <w:tc>
          <w:tcPr>
            <w:tcW w:w="4248" w:type="dxa"/>
            <w:vAlign w:val="center"/>
          </w:tcPr>
          <w:p w:rsidR="00397F24" w:rsidRPr="0096104E" w:rsidRDefault="007578FF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P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rovide professional development to create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awareness, foster fluency, and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develop a common language</w:t>
            </w:r>
            <w:r w:rsidR="005829F9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supporting Common Core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implementation.</w:t>
            </w:r>
          </w:p>
        </w:tc>
        <w:tc>
          <w:tcPr>
            <w:tcW w:w="4500" w:type="dxa"/>
            <w:vAlign w:val="center"/>
          </w:tcPr>
          <w:p w:rsidR="00397F24" w:rsidRPr="0096104E" w:rsidRDefault="00DF3795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P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 xml:space="preserve">rovide opportunities for teachers </w:t>
            </w:r>
            <w:r w:rsidR="00AB1920" w:rsidRPr="0096104E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receive professional development to create awareness, foster fluency, and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develop a common language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supporting Common Core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implementation.</w:t>
            </w:r>
          </w:p>
        </w:tc>
        <w:tc>
          <w:tcPr>
            <w:tcW w:w="4428" w:type="dxa"/>
            <w:vAlign w:val="center"/>
          </w:tcPr>
          <w:p w:rsidR="00397F24" w:rsidRPr="0096104E" w:rsidRDefault="00495723" w:rsidP="00BC2696">
            <w:pPr>
              <w:pStyle w:val="ListParagraph"/>
              <w:numPr>
                <w:ilvl w:val="0"/>
                <w:numId w:val="7"/>
              </w:numPr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Learn about the Common Core, beginning with the six shifts.</w:t>
            </w:r>
          </w:p>
        </w:tc>
      </w:tr>
      <w:tr w:rsidR="00495723" w:rsidRPr="0096104E" w:rsidTr="00BC2696">
        <w:trPr>
          <w:trHeight w:val="864"/>
        </w:trPr>
        <w:tc>
          <w:tcPr>
            <w:tcW w:w="4248" w:type="dxa"/>
            <w:vAlign w:val="center"/>
          </w:tcPr>
          <w:p w:rsidR="00397F24" w:rsidRPr="0096104E" w:rsidRDefault="007578FF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18"/>
                <w:szCs w:val="20"/>
              </w:rPr>
              <w:t>C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ollaboratively diagnose school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capacity for implementing The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Common Core and create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 xml:space="preserve">action plan to ensure </w:t>
            </w:r>
            <w:r w:rsidRPr="0096104E">
              <w:rPr>
                <w:rFonts w:ascii="Arial" w:hAnsi="Arial" w:cs="Arial"/>
                <w:sz w:val="18"/>
                <w:szCs w:val="20"/>
              </w:rPr>
              <w:t>one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 xml:space="preserve"> Common Core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55F6" w:rsidRPr="0096104E">
              <w:rPr>
                <w:rFonts w:ascii="Arial" w:hAnsi="Arial" w:cs="Arial"/>
                <w:sz w:val="18"/>
                <w:szCs w:val="20"/>
              </w:rPr>
              <w:t>aligned “u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nit</w:t>
            </w:r>
            <w:r w:rsidR="009B55F6" w:rsidRPr="0096104E">
              <w:rPr>
                <w:rFonts w:ascii="Arial" w:hAnsi="Arial" w:cs="Arial"/>
                <w:sz w:val="18"/>
                <w:szCs w:val="20"/>
              </w:rPr>
              <w:t>”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 xml:space="preserve"> in 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>e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 xml:space="preserve">very classroom, each </w:t>
            </w:r>
            <w:r w:rsidR="00AB1920" w:rsidRPr="0096104E">
              <w:rPr>
                <w:rFonts w:ascii="Arial" w:hAnsi="Arial" w:cs="Arial"/>
                <w:sz w:val="18"/>
                <w:szCs w:val="20"/>
              </w:rPr>
              <w:t>semester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4500" w:type="dxa"/>
            <w:vAlign w:val="center"/>
          </w:tcPr>
          <w:p w:rsidR="00397F24" w:rsidRPr="0096104E" w:rsidRDefault="00DF3795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C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ollaboratively diagnose school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capacity for implementing t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he</w:t>
            </w:r>
            <w:r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Common Core and create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 xml:space="preserve">action plan to ensure </w:t>
            </w:r>
            <w:r w:rsidR="007578FF" w:rsidRPr="0096104E">
              <w:rPr>
                <w:rFonts w:ascii="Arial" w:hAnsi="Arial" w:cs="Arial"/>
                <w:sz w:val="20"/>
                <w:szCs w:val="20"/>
              </w:rPr>
              <w:t>one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 xml:space="preserve"> Common Core</w:t>
            </w:r>
            <w:r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aligned “u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nit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”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 xml:space="preserve"> in every classroom, each </w:t>
            </w:r>
            <w:r w:rsidR="00AB1920" w:rsidRPr="0096104E">
              <w:rPr>
                <w:rFonts w:ascii="Arial" w:hAnsi="Arial" w:cs="Arial"/>
                <w:sz w:val="20"/>
                <w:szCs w:val="20"/>
              </w:rPr>
              <w:t>semester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28" w:type="dxa"/>
            <w:vAlign w:val="center"/>
          </w:tcPr>
          <w:p w:rsidR="00397F24" w:rsidRPr="0096104E" w:rsidRDefault="00495723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Collaboratively diagnose sc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hool capacity for implementing t</w:t>
            </w:r>
            <w:r w:rsidRPr="0096104E">
              <w:rPr>
                <w:rFonts w:ascii="Arial" w:hAnsi="Arial" w:cs="Arial"/>
                <w:sz w:val="20"/>
                <w:szCs w:val="20"/>
              </w:rPr>
              <w:t xml:space="preserve">he Common Core and create action 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plan to ensure one Common Core a</w:t>
            </w:r>
            <w:r w:rsidRPr="0096104E">
              <w:rPr>
                <w:rFonts w:ascii="Arial" w:hAnsi="Arial" w:cs="Arial"/>
                <w:sz w:val="20"/>
                <w:szCs w:val="20"/>
              </w:rPr>
              <w:t>ligned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 xml:space="preserve"> “u</w:t>
            </w:r>
            <w:r w:rsidR="00AB1920" w:rsidRPr="0096104E">
              <w:rPr>
                <w:rFonts w:ascii="Arial" w:hAnsi="Arial" w:cs="Arial"/>
                <w:sz w:val="20"/>
                <w:szCs w:val="20"/>
              </w:rPr>
              <w:t>nit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”</w:t>
            </w:r>
            <w:r w:rsidR="00AB1920" w:rsidRPr="0096104E">
              <w:rPr>
                <w:rFonts w:ascii="Arial" w:hAnsi="Arial" w:cs="Arial"/>
                <w:sz w:val="20"/>
                <w:szCs w:val="20"/>
              </w:rPr>
              <w:t xml:space="preserve"> in every classroom, each semester</w:t>
            </w:r>
            <w:r w:rsidRPr="009610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5723" w:rsidRPr="0096104E" w:rsidTr="00BC2696">
        <w:trPr>
          <w:trHeight w:val="864"/>
        </w:trPr>
        <w:tc>
          <w:tcPr>
            <w:tcW w:w="4248" w:type="dxa"/>
            <w:vAlign w:val="center"/>
          </w:tcPr>
          <w:p w:rsidR="00397F24" w:rsidRPr="0096104E" w:rsidRDefault="00397F24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Introduce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04E">
              <w:rPr>
                <w:rFonts w:ascii="Arial" w:hAnsi="Arial" w:cs="Arial"/>
                <w:sz w:val="20"/>
                <w:szCs w:val="20"/>
              </w:rPr>
              <w:t>Common Core aligned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04E">
              <w:rPr>
                <w:rFonts w:ascii="Arial" w:hAnsi="Arial" w:cs="Arial"/>
                <w:sz w:val="20"/>
                <w:szCs w:val="20"/>
              </w:rPr>
              <w:t>curriculum model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04E">
              <w:rPr>
                <w:rFonts w:ascii="Arial" w:hAnsi="Arial" w:cs="Arial"/>
                <w:sz w:val="20"/>
                <w:szCs w:val="20"/>
              </w:rPr>
              <w:t>modules/units and unpack the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04E">
              <w:rPr>
                <w:rFonts w:ascii="Arial" w:hAnsi="Arial" w:cs="Arial"/>
                <w:sz w:val="20"/>
                <w:szCs w:val="20"/>
              </w:rPr>
              <w:t>qualities of a model unit.</w:t>
            </w:r>
          </w:p>
        </w:tc>
        <w:tc>
          <w:tcPr>
            <w:tcW w:w="4500" w:type="dxa"/>
            <w:vAlign w:val="center"/>
          </w:tcPr>
          <w:p w:rsidR="00397F24" w:rsidRPr="0096104E" w:rsidRDefault="00397F24" w:rsidP="00BC2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397F24" w:rsidRPr="0096104E" w:rsidRDefault="00397F24" w:rsidP="00BC2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723" w:rsidRPr="0096104E" w:rsidTr="00BC2696">
        <w:trPr>
          <w:trHeight w:val="864"/>
        </w:trPr>
        <w:tc>
          <w:tcPr>
            <w:tcW w:w="4248" w:type="dxa"/>
            <w:vAlign w:val="center"/>
          </w:tcPr>
          <w:p w:rsidR="00397F24" w:rsidRPr="0096104E" w:rsidRDefault="007578FF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B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 xml:space="preserve">uild capacity and foster accountability so that every teacher delivers at least one Common Core aligned 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“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unit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”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 xml:space="preserve"> each semester.</w:t>
            </w:r>
          </w:p>
        </w:tc>
        <w:tc>
          <w:tcPr>
            <w:tcW w:w="4500" w:type="dxa"/>
            <w:vAlign w:val="center"/>
          </w:tcPr>
          <w:p w:rsidR="00397F24" w:rsidRPr="0096104E" w:rsidRDefault="00DF3795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B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 xml:space="preserve">uild capacity and foster accountability so that every teacher delivers at least one Common Core aligned 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“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unit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”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 xml:space="preserve"> each semester.</w:t>
            </w:r>
          </w:p>
        </w:tc>
        <w:tc>
          <w:tcPr>
            <w:tcW w:w="4428" w:type="dxa"/>
            <w:vAlign w:val="center"/>
          </w:tcPr>
          <w:p w:rsidR="00397F24" w:rsidRPr="0096104E" w:rsidRDefault="00DF3795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D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 xml:space="preserve">eliver at least one Common Core aligned 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“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unit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”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 xml:space="preserve"> each semester.</w:t>
            </w:r>
          </w:p>
        </w:tc>
      </w:tr>
      <w:tr w:rsidR="00495723" w:rsidRPr="0096104E" w:rsidTr="00BC2696">
        <w:trPr>
          <w:trHeight w:val="950"/>
        </w:trPr>
        <w:tc>
          <w:tcPr>
            <w:tcW w:w="4248" w:type="dxa"/>
            <w:vAlign w:val="center"/>
          </w:tcPr>
          <w:p w:rsidR="00397F24" w:rsidRPr="0096104E" w:rsidRDefault="007578FF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O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bserve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and give evidence-based feedback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 xml:space="preserve">on the Common Core 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“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units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”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developed in the fall; continue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throughout the spring semester</w:t>
            </w:r>
            <w:r w:rsidR="00AB1920" w:rsidRPr="009610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vAlign w:val="center"/>
          </w:tcPr>
          <w:p w:rsidR="00397F24" w:rsidRPr="0096104E" w:rsidRDefault="00DF3795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O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bserve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and give evidence-based feedback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 xml:space="preserve">on Common Core 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“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units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”</w:t>
            </w:r>
            <w:r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developed in the fall; continue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throughout the spring semester</w:t>
            </w:r>
            <w:r w:rsidR="00AB1920" w:rsidRPr="009610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28" w:type="dxa"/>
            <w:vAlign w:val="center"/>
          </w:tcPr>
          <w:p w:rsidR="00397F24" w:rsidRPr="0096104E" w:rsidRDefault="00397F24" w:rsidP="00BC269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95723" w:rsidRPr="0096104E" w:rsidTr="00BC2696">
        <w:trPr>
          <w:trHeight w:val="864"/>
        </w:trPr>
        <w:tc>
          <w:tcPr>
            <w:tcW w:w="4248" w:type="dxa"/>
            <w:vAlign w:val="center"/>
          </w:tcPr>
          <w:p w:rsidR="00397F24" w:rsidRPr="0096104E" w:rsidRDefault="007578FF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18"/>
                <w:szCs w:val="20"/>
              </w:rPr>
              <w:t>S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upport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A4F93" w:rsidRPr="0096104E">
              <w:rPr>
                <w:rFonts w:ascii="Arial" w:hAnsi="Arial" w:cs="Arial"/>
                <w:sz w:val="18"/>
                <w:szCs w:val="20"/>
              </w:rPr>
              <w:t>principals’ supervision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 xml:space="preserve"> and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management of Common Core</w:t>
            </w:r>
            <w:r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units; continue throughout the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spring semester</w:t>
            </w:r>
            <w:r w:rsidR="00AB1920" w:rsidRPr="0096104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4500" w:type="dxa"/>
            <w:vAlign w:val="center"/>
          </w:tcPr>
          <w:p w:rsidR="00397F24" w:rsidRPr="0096104E" w:rsidRDefault="00397F24" w:rsidP="000B66C2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397F24" w:rsidRPr="0096104E" w:rsidRDefault="00397F24" w:rsidP="00BC2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723" w:rsidRPr="0096104E" w:rsidTr="00BC2696">
        <w:trPr>
          <w:trHeight w:val="864"/>
        </w:trPr>
        <w:tc>
          <w:tcPr>
            <w:tcW w:w="4248" w:type="dxa"/>
            <w:vAlign w:val="center"/>
          </w:tcPr>
          <w:p w:rsidR="00397F24" w:rsidRPr="0096104E" w:rsidRDefault="007578FF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18"/>
                <w:szCs w:val="20"/>
              </w:rPr>
              <w:t>P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rovide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opportunities for teachers and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principals to look at student work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 xml:space="preserve">from Common Core </w:t>
            </w:r>
            <w:r w:rsidR="009B55F6" w:rsidRPr="0096104E">
              <w:rPr>
                <w:rFonts w:ascii="Arial" w:hAnsi="Arial" w:cs="Arial"/>
                <w:sz w:val="18"/>
                <w:szCs w:val="20"/>
              </w:rPr>
              <w:t>“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units</w:t>
            </w:r>
            <w:r w:rsidR="009B55F6" w:rsidRPr="0096104E">
              <w:rPr>
                <w:rFonts w:ascii="Arial" w:hAnsi="Arial" w:cs="Arial"/>
                <w:sz w:val="18"/>
                <w:szCs w:val="20"/>
              </w:rPr>
              <w:t>”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compared to exemplary student</w:t>
            </w:r>
            <w:r w:rsidR="00AB1920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work in posted modules and The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Common Core Appendix; continue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throughout the spring semester</w:t>
            </w:r>
            <w:r w:rsidR="00AB1920" w:rsidRPr="0096104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4500" w:type="dxa"/>
            <w:vAlign w:val="center"/>
          </w:tcPr>
          <w:p w:rsidR="00397F24" w:rsidRPr="0096104E" w:rsidRDefault="00DF3795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18"/>
                <w:szCs w:val="20"/>
              </w:rPr>
              <w:t>P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rovide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 xml:space="preserve">opportunities for teachers </w:t>
            </w:r>
            <w:r w:rsidR="009B55F6" w:rsidRPr="0096104E">
              <w:rPr>
                <w:rFonts w:ascii="Arial" w:hAnsi="Arial" w:cs="Arial"/>
                <w:sz w:val="18"/>
                <w:szCs w:val="20"/>
              </w:rPr>
              <w:t>(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and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55F6" w:rsidRPr="0096104E">
              <w:rPr>
                <w:rFonts w:ascii="Arial" w:hAnsi="Arial" w:cs="Arial"/>
                <w:sz w:val="18"/>
                <w:szCs w:val="20"/>
              </w:rPr>
              <w:t>leaders)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 xml:space="preserve"> to look at student work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 xml:space="preserve">from Common Core </w:t>
            </w:r>
            <w:r w:rsidR="009B55F6" w:rsidRPr="0096104E">
              <w:rPr>
                <w:rFonts w:ascii="Arial" w:hAnsi="Arial" w:cs="Arial"/>
                <w:sz w:val="18"/>
                <w:szCs w:val="20"/>
              </w:rPr>
              <w:t>“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units</w:t>
            </w:r>
            <w:r w:rsidR="009B55F6" w:rsidRPr="0096104E">
              <w:rPr>
                <w:rFonts w:ascii="Arial" w:hAnsi="Arial" w:cs="Arial"/>
                <w:sz w:val="18"/>
                <w:szCs w:val="20"/>
              </w:rPr>
              <w:t>”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compared to exemplary student</w:t>
            </w:r>
            <w:r w:rsidR="00AB1920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B55F6" w:rsidRPr="0096104E">
              <w:rPr>
                <w:rFonts w:ascii="Arial" w:hAnsi="Arial" w:cs="Arial"/>
                <w:sz w:val="18"/>
                <w:szCs w:val="20"/>
              </w:rPr>
              <w:t>work in posted modules and t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he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Common Core Appendix; continue</w:t>
            </w:r>
            <w:r w:rsidR="00DC67EC" w:rsidRPr="009610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18"/>
                <w:szCs w:val="20"/>
              </w:rPr>
              <w:t>throughout the spring semester</w:t>
            </w:r>
            <w:r w:rsidR="00AB1920" w:rsidRPr="0096104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4428" w:type="dxa"/>
            <w:vAlign w:val="center"/>
          </w:tcPr>
          <w:p w:rsidR="00397F24" w:rsidRPr="0096104E" w:rsidRDefault="00495723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L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ook at student work</w:t>
            </w:r>
            <w:r w:rsidR="00DF3795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 xml:space="preserve">from Common Core 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“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units</w:t>
            </w:r>
            <w:r w:rsidR="009B55F6" w:rsidRPr="0096104E">
              <w:rPr>
                <w:rFonts w:ascii="Arial" w:hAnsi="Arial" w:cs="Arial"/>
                <w:sz w:val="20"/>
                <w:szCs w:val="20"/>
              </w:rPr>
              <w:t>”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compared to exemplary student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20" w:rsidRPr="0096104E">
              <w:rPr>
                <w:rFonts w:ascii="Arial" w:hAnsi="Arial" w:cs="Arial"/>
                <w:sz w:val="20"/>
                <w:szCs w:val="20"/>
              </w:rPr>
              <w:t>work in posted modules and t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he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Common Core Appendix; continue throughout the spring semester</w:t>
            </w:r>
            <w:r w:rsidR="00AB1920" w:rsidRPr="009610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5723" w:rsidRPr="0096104E" w:rsidTr="00BC2696">
        <w:trPr>
          <w:trHeight w:val="864"/>
        </w:trPr>
        <w:tc>
          <w:tcPr>
            <w:tcW w:w="4248" w:type="dxa"/>
            <w:vAlign w:val="center"/>
          </w:tcPr>
          <w:p w:rsidR="00397F24" w:rsidRPr="0096104E" w:rsidRDefault="00397F24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Plan ongoing professional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04E">
              <w:rPr>
                <w:rFonts w:ascii="Arial" w:hAnsi="Arial" w:cs="Arial"/>
                <w:sz w:val="20"/>
                <w:szCs w:val="20"/>
              </w:rPr>
              <w:t xml:space="preserve">development based on </w:t>
            </w:r>
            <w:r w:rsidR="00D562DC" w:rsidRPr="0096104E">
              <w:rPr>
                <w:rFonts w:ascii="Arial" w:hAnsi="Arial" w:cs="Arial"/>
                <w:sz w:val="20"/>
                <w:szCs w:val="20"/>
              </w:rPr>
              <w:t xml:space="preserve">implementation </w:t>
            </w:r>
            <w:r w:rsidRPr="0096104E">
              <w:rPr>
                <w:rFonts w:ascii="Arial" w:hAnsi="Arial" w:cs="Arial"/>
                <w:sz w:val="20"/>
                <w:szCs w:val="20"/>
              </w:rPr>
              <w:t>challenges</w:t>
            </w:r>
            <w:r w:rsidR="00AB1920" w:rsidRPr="009610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vAlign w:val="center"/>
          </w:tcPr>
          <w:p w:rsidR="00397F24" w:rsidRPr="0096104E" w:rsidRDefault="00397F24" w:rsidP="00BC26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Plan ongoing professional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04E">
              <w:rPr>
                <w:rFonts w:ascii="Arial" w:hAnsi="Arial" w:cs="Arial"/>
                <w:sz w:val="20"/>
                <w:szCs w:val="20"/>
              </w:rPr>
              <w:t xml:space="preserve">development based on </w:t>
            </w:r>
            <w:r w:rsidR="00D562DC" w:rsidRPr="0096104E">
              <w:rPr>
                <w:rFonts w:ascii="Arial" w:hAnsi="Arial" w:cs="Arial"/>
                <w:sz w:val="20"/>
                <w:szCs w:val="20"/>
              </w:rPr>
              <w:t xml:space="preserve">implementation </w:t>
            </w:r>
            <w:r w:rsidRPr="0096104E">
              <w:rPr>
                <w:rFonts w:ascii="Arial" w:hAnsi="Arial" w:cs="Arial"/>
                <w:sz w:val="20"/>
                <w:szCs w:val="20"/>
              </w:rPr>
              <w:t>challenges</w:t>
            </w:r>
            <w:r w:rsidR="00AB1920" w:rsidRPr="009610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28" w:type="dxa"/>
            <w:vAlign w:val="center"/>
          </w:tcPr>
          <w:p w:rsidR="00397F24" w:rsidRPr="0096104E" w:rsidRDefault="00495723" w:rsidP="00BC2696">
            <w:pPr>
              <w:pStyle w:val="ListParagraph"/>
              <w:numPr>
                <w:ilvl w:val="0"/>
                <w:numId w:val="7"/>
              </w:numPr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Participate in professional development.</w:t>
            </w:r>
          </w:p>
        </w:tc>
      </w:tr>
      <w:tr w:rsidR="00495723" w:rsidRPr="0096104E" w:rsidTr="00BC2696">
        <w:trPr>
          <w:trHeight w:val="864"/>
        </w:trPr>
        <w:tc>
          <w:tcPr>
            <w:tcW w:w="4248" w:type="dxa"/>
            <w:vAlign w:val="center"/>
          </w:tcPr>
          <w:p w:rsidR="00397F24" w:rsidRPr="0096104E" w:rsidRDefault="007578FF" w:rsidP="00BC269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M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onitor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progress and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determine mid-course corrections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and tailored professional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development in each school;</w:t>
            </w:r>
            <w:r w:rsidR="00AB1920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continue throughout the spring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semester</w:t>
            </w:r>
            <w:r w:rsidR="00AB1920" w:rsidRPr="009610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vAlign w:val="center"/>
          </w:tcPr>
          <w:p w:rsidR="00397F24" w:rsidRPr="0096104E" w:rsidRDefault="00DF3795" w:rsidP="00BC269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96104E">
              <w:rPr>
                <w:rFonts w:ascii="Arial" w:hAnsi="Arial" w:cs="Arial"/>
                <w:sz w:val="20"/>
                <w:szCs w:val="20"/>
              </w:rPr>
              <w:t>M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onitor</w:t>
            </w:r>
            <w:r w:rsidR="00DC67EC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progress and</w:t>
            </w:r>
            <w:r w:rsidR="00EF15B5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determine mid-course corrections</w:t>
            </w:r>
            <w:r w:rsidR="00495723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and tailored professional</w:t>
            </w:r>
            <w:r w:rsidR="00EF15B5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development in each school;</w:t>
            </w:r>
            <w:r w:rsidR="00EF15B5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continue throughout the spring</w:t>
            </w:r>
            <w:r w:rsidR="00EF15B5" w:rsidRPr="0096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96104E">
              <w:rPr>
                <w:rFonts w:ascii="Arial" w:hAnsi="Arial" w:cs="Arial"/>
                <w:sz w:val="20"/>
                <w:szCs w:val="20"/>
              </w:rPr>
              <w:t>semester</w:t>
            </w:r>
            <w:r w:rsidR="00AB1920" w:rsidRPr="009610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28" w:type="dxa"/>
            <w:vAlign w:val="center"/>
          </w:tcPr>
          <w:p w:rsidR="00397F24" w:rsidRPr="0096104E" w:rsidRDefault="00397F24" w:rsidP="00BC2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AC6" w:rsidRPr="00495723" w:rsidRDefault="00926AC6" w:rsidP="00DC67EC">
      <w:pPr>
        <w:rPr>
          <w:rFonts w:ascii="Arial" w:hAnsi="Arial" w:cs="Arial"/>
        </w:rPr>
      </w:pP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4248"/>
        <w:gridCol w:w="4514"/>
        <w:gridCol w:w="4396"/>
      </w:tblGrid>
      <w:tr w:rsidR="00495723" w:rsidRPr="00495723" w:rsidTr="00BC2696">
        <w:tc>
          <w:tcPr>
            <w:tcW w:w="13158" w:type="dxa"/>
            <w:gridSpan w:val="3"/>
            <w:shd w:val="clear" w:color="auto" w:fill="D9D9D9" w:themeFill="background1" w:themeFillShade="D9"/>
          </w:tcPr>
          <w:p w:rsidR="00926AC6" w:rsidRPr="00495723" w:rsidRDefault="00926AC6" w:rsidP="00623CB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95723">
              <w:rPr>
                <w:rFonts w:ascii="Arial" w:hAnsi="Arial" w:cs="Arial"/>
                <w:b/>
                <w:sz w:val="32"/>
                <w:szCs w:val="32"/>
              </w:rPr>
              <w:t xml:space="preserve">Implement School-Based Inquiry </w:t>
            </w:r>
            <w:r w:rsidR="00623CB0">
              <w:rPr>
                <w:rFonts w:ascii="Arial" w:hAnsi="Arial" w:cs="Arial"/>
                <w:b/>
                <w:sz w:val="32"/>
                <w:szCs w:val="32"/>
              </w:rPr>
              <w:t xml:space="preserve">Teams </w:t>
            </w:r>
            <w:r w:rsidRPr="00495723">
              <w:rPr>
                <w:rFonts w:ascii="Arial" w:hAnsi="Arial" w:cs="Arial"/>
                <w:b/>
                <w:sz w:val="32"/>
                <w:szCs w:val="32"/>
              </w:rPr>
              <w:t xml:space="preserve">and Data </w:t>
            </w:r>
            <w:r w:rsidR="00623CB0">
              <w:rPr>
                <w:rFonts w:ascii="Arial" w:hAnsi="Arial" w:cs="Arial"/>
                <w:b/>
                <w:sz w:val="32"/>
                <w:szCs w:val="32"/>
              </w:rPr>
              <w:t>Driven Instruction</w:t>
            </w:r>
          </w:p>
        </w:tc>
      </w:tr>
      <w:tr w:rsidR="00495723" w:rsidRPr="00495723" w:rsidTr="00BC2696">
        <w:trPr>
          <w:trHeight w:val="288"/>
        </w:trPr>
        <w:tc>
          <w:tcPr>
            <w:tcW w:w="4248" w:type="dxa"/>
            <w:vAlign w:val="center"/>
          </w:tcPr>
          <w:p w:rsidR="00397F24" w:rsidRPr="00495723" w:rsidRDefault="00397F24" w:rsidP="00A94476">
            <w:pPr>
              <w:jc w:val="center"/>
              <w:rPr>
                <w:rFonts w:ascii="Arial" w:hAnsi="Arial" w:cs="Arial"/>
                <w:b/>
              </w:rPr>
            </w:pPr>
            <w:r w:rsidRPr="00495723">
              <w:rPr>
                <w:rFonts w:ascii="Arial" w:hAnsi="Arial" w:cs="Arial"/>
                <w:b/>
              </w:rPr>
              <w:t>Network Team</w:t>
            </w:r>
          </w:p>
        </w:tc>
        <w:tc>
          <w:tcPr>
            <w:tcW w:w="4514" w:type="dxa"/>
            <w:vAlign w:val="center"/>
          </w:tcPr>
          <w:p w:rsidR="00397F24" w:rsidRPr="00495723" w:rsidRDefault="00397F24" w:rsidP="00A94476">
            <w:pPr>
              <w:jc w:val="center"/>
              <w:rPr>
                <w:rFonts w:ascii="Arial" w:hAnsi="Arial" w:cs="Arial"/>
                <w:b/>
              </w:rPr>
            </w:pPr>
            <w:r w:rsidRPr="00495723">
              <w:rPr>
                <w:rFonts w:ascii="Arial" w:hAnsi="Arial" w:cs="Arial"/>
                <w:b/>
              </w:rPr>
              <w:t>Administrators</w:t>
            </w:r>
          </w:p>
        </w:tc>
        <w:tc>
          <w:tcPr>
            <w:tcW w:w="4396" w:type="dxa"/>
            <w:vAlign w:val="center"/>
          </w:tcPr>
          <w:p w:rsidR="00397F24" w:rsidRPr="00495723" w:rsidRDefault="00397F24" w:rsidP="00A94476">
            <w:pPr>
              <w:jc w:val="center"/>
              <w:rPr>
                <w:rFonts w:ascii="Arial" w:hAnsi="Arial" w:cs="Arial"/>
                <w:b/>
              </w:rPr>
            </w:pPr>
            <w:r w:rsidRPr="00495723">
              <w:rPr>
                <w:rFonts w:ascii="Arial" w:hAnsi="Arial" w:cs="Arial"/>
                <w:b/>
              </w:rPr>
              <w:t>Teachers</w:t>
            </w:r>
          </w:p>
        </w:tc>
      </w:tr>
      <w:tr w:rsidR="00495723" w:rsidRPr="00495723" w:rsidTr="00BC2696">
        <w:trPr>
          <w:trHeight w:val="864"/>
        </w:trPr>
        <w:tc>
          <w:tcPr>
            <w:tcW w:w="4248" w:type="dxa"/>
            <w:vAlign w:val="center"/>
          </w:tcPr>
          <w:p w:rsidR="00397F24" w:rsidRPr="00BC2696" w:rsidRDefault="007578FF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A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ssess the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quality of each school’s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implementation of data driven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instruction against the key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drivers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14" w:type="dxa"/>
            <w:vAlign w:val="center"/>
          </w:tcPr>
          <w:p w:rsidR="00397F24" w:rsidRPr="00BC2696" w:rsidRDefault="007578FF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Assess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quality of each school’s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implementation of data driven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instruction against the key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drivers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6" w:type="dxa"/>
            <w:vAlign w:val="center"/>
          </w:tcPr>
          <w:p w:rsidR="00397F24" w:rsidRPr="00BC2696" w:rsidRDefault="00397F24" w:rsidP="00BC2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723" w:rsidRPr="00495723" w:rsidTr="00BC2696">
        <w:trPr>
          <w:trHeight w:val="864"/>
        </w:trPr>
        <w:tc>
          <w:tcPr>
            <w:tcW w:w="4248" w:type="dxa"/>
            <w:vAlign w:val="center"/>
          </w:tcPr>
          <w:p w:rsidR="00397F24" w:rsidRPr="00BC2696" w:rsidRDefault="007578FF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D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evelop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an implementation plan for data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driven instruction, tailored to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the specific needs of schools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and/or districts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14" w:type="dxa"/>
            <w:vAlign w:val="center"/>
          </w:tcPr>
          <w:p w:rsidR="00397F24" w:rsidRPr="00BC2696" w:rsidRDefault="007578FF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D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evelop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an implementation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 xml:space="preserve"> plan for data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driven instruction, tailored to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the specific needs of schools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and/or districts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6" w:type="dxa"/>
            <w:vAlign w:val="center"/>
          </w:tcPr>
          <w:p w:rsidR="00397F24" w:rsidRPr="00BC2696" w:rsidRDefault="00397F24" w:rsidP="00BC2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723" w:rsidRPr="00495723" w:rsidTr="00BC2696">
        <w:trPr>
          <w:trHeight w:val="864"/>
        </w:trPr>
        <w:tc>
          <w:tcPr>
            <w:tcW w:w="4248" w:type="dxa"/>
            <w:vAlign w:val="center"/>
          </w:tcPr>
          <w:p w:rsidR="00397F24" w:rsidRPr="00BC2696" w:rsidRDefault="00397F24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Support the ongoing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696">
              <w:rPr>
                <w:rFonts w:ascii="Arial" w:hAnsi="Arial" w:cs="Arial"/>
                <w:sz w:val="20"/>
                <w:szCs w:val="20"/>
              </w:rPr>
              <w:t>development of data driven</w:t>
            </w:r>
            <w:r w:rsidR="006A4F93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696">
              <w:rPr>
                <w:rFonts w:ascii="Arial" w:hAnsi="Arial" w:cs="Arial"/>
                <w:sz w:val="20"/>
                <w:szCs w:val="20"/>
              </w:rPr>
              <w:t>cultures in teams of teachers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696">
              <w:rPr>
                <w:rFonts w:ascii="Arial" w:hAnsi="Arial" w:cs="Arial"/>
                <w:sz w:val="20"/>
                <w:szCs w:val="20"/>
              </w:rPr>
              <w:t>and school leadership teams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14" w:type="dxa"/>
            <w:vAlign w:val="center"/>
          </w:tcPr>
          <w:p w:rsidR="00397F24" w:rsidRPr="00BC2696" w:rsidRDefault="00397F24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Support the ongoing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696">
              <w:rPr>
                <w:rFonts w:ascii="Arial" w:hAnsi="Arial" w:cs="Arial"/>
                <w:sz w:val="20"/>
                <w:szCs w:val="20"/>
              </w:rPr>
              <w:t>development of data driven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696">
              <w:rPr>
                <w:rFonts w:ascii="Arial" w:hAnsi="Arial" w:cs="Arial"/>
                <w:sz w:val="20"/>
                <w:szCs w:val="20"/>
              </w:rPr>
              <w:t>cultures in teams of teachers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696">
              <w:rPr>
                <w:rFonts w:ascii="Arial" w:hAnsi="Arial" w:cs="Arial"/>
                <w:sz w:val="20"/>
                <w:szCs w:val="20"/>
              </w:rPr>
              <w:t>and school leadership teams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6" w:type="dxa"/>
            <w:vAlign w:val="center"/>
          </w:tcPr>
          <w:p w:rsidR="00397F24" w:rsidRPr="00BC2696" w:rsidRDefault="00397F24" w:rsidP="00BC2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723" w:rsidRPr="00495723" w:rsidTr="00BC2696">
        <w:trPr>
          <w:trHeight w:val="864"/>
        </w:trPr>
        <w:tc>
          <w:tcPr>
            <w:tcW w:w="4248" w:type="dxa"/>
            <w:vAlign w:val="center"/>
          </w:tcPr>
          <w:p w:rsidR="00397F24" w:rsidRPr="00BC2696" w:rsidRDefault="007578FF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L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ink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instruction and follow-up</w:t>
            </w:r>
            <w:r w:rsidR="006A4F93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 xml:space="preserve">analysis 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to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 xml:space="preserve"> action planning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14" w:type="dxa"/>
            <w:vAlign w:val="center"/>
          </w:tcPr>
          <w:p w:rsidR="00397F24" w:rsidRPr="00BC2696" w:rsidRDefault="007578FF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L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ink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instruction and follow-up</w:t>
            </w:r>
            <w:r w:rsidR="006A4F93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 xml:space="preserve">analysis 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to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 xml:space="preserve"> action planning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6" w:type="dxa"/>
            <w:vAlign w:val="center"/>
          </w:tcPr>
          <w:p w:rsidR="00397F24" w:rsidRPr="00BC2696" w:rsidRDefault="007578FF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L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ink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instruction and follow-up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 xml:space="preserve">analysis 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to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 xml:space="preserve"> action planning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5723" w:rsidRPr="00495723" w:rsidTr="00BC2696">
        <w:trPr>
          <w:trHeight w:val="864"/>
        </w:trPr>
        <w:tc>
          <w:tcPr>
            <w:tcW w:w="4248" w:type="dxa"/>
            <w:vAlign w:val="center"/>
          </w:tcPr>
          <w:p w:rsidR="00397F24" w:rsidRPr="00BC2696" w:rsidRDefault="007578FF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Continue to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 xml:space="preserve"> align instructional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practices</w:t>
            </w:r>
            <w:proofErr w:type="gramStart"/>
            <w:r w:rsidR="00397F24" w:rsidRPr="00BC269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ssessments</w:t>
            </w:r>
            <w:proofErr w:type="gramEnd"/>
            <w:r w:rsidR="00397F24" w:rsidRPr="00BC2696">
              <w:rPr>
                <w:rFonts w:ascii="Arial" w:hAnsi="Arial" w:cs="Arial"/>
                <w:sz w:val="20"/>
                <w:szCs w:val="20"/>
              </w:rPr>
              <w:t>, and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analysis to the rigor of the</w:t>
            </w:r>
            <w:r w:rsid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Common Core standards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14" w:type="dxa"/>
            <w:vAlign w:val="center"/>
          </w:tcPr>
          <w:p w:rsidR="00397F24" w:rsidRPr="00BC2696" w:rsidRDefault="007578FF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 xml:space="preserve">Continue to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align instructional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practices, assessments, and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analysis to the rigor of the</w:t>
            </w:r>
            <w:r w:rsid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Common Core standards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6" w:type="dxa"/>
            <w:vAlign w:val="center"/>
          </w:tcPr>
          <w:p w:rsidR="00397F24" w:rsidRPr="00BC2696" w:rsidRDefault="007578FF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 xml:space="preserve">Continue to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align instructional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practices, assessments, and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analysis to the rigor of the</w:t>
            </w:r>
            <w:r w:rsid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Common Core standards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5723" w:rsidRPr="00495723" w:rsidTr="00BC2696">
        <w:trPr>
          <w:trHeight w:val="864"/>
        </w:trPr>
        <w:tc>
          <w:tcPr>
            <w:tcW w:w="4248" w:type="dxa"/>
            <w:vAlign w:val="center"/>
          </w:tcPr>
          <w:p w:rsidR="00397F24" w:rsidRPr="00BC2696" w:rsidRDefault="007578FF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Continue to s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upport and/or lead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 xml:space="preserve">analysis 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meetings with teacher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 xml:space="preserve">teams that 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increase student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learning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14" w:type="dxa"/>
            <w:vAlign w:val="center"/>
          </w:tcPr>
          <w:p w:rsidR="00397F24" w:rsidRPr="00BC2696" w:rsidRDefault="00495723" w:rsidP="00BC2696">
            <w:pPr>
              <w:pStyle w:val="ListParagraph"/>
              <w:numPr>
                <w:ilvl w:val="0"/>
                <w:numId w:val="8"/>
              </w:numPr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 xml:space="preserve">Continue to support and/or lead analysis 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BC2696">
              <w:rPr>
                <w:rFonts w:ascii="Arial" w:hAnsi="Arial" w:cs="Arial"/>
                <w:sz w:val="20"/>
                <w:szCs w:val="20"/>
              </w:rPr>
              <w:t>meetings with teache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r teams that increase student</w:t>
            </w:r>
            <w:r w:rsidRPr="00BC2696">
              <w:rPr>
                <w:rFonts w:ascii="Arial" w:hAnsi="Arial" w:cs="Arial"/>
                <w:sz w:val="20"/>
                <w:szCs w:val="20"/>
              </w:rPr>
              <w:t xml:space="preserve"> learning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6" w:type="dxa"/>
            <w:vAlign w:val="center"/>
          </w:tcPr>
          <w:p w:rsidR="00397F24" w:rsidRPr="00BC2696" w:rsidRDefault="00495723" w:rsidP="00BC2696">
            <w:pPr>
              <w:pStyle w:val="ListParagraph"/>
              <w:numPr>
                <w:ilvl w:val="0"/>
                <w:numId w:val="8"/>
              </w:numPr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Participate in teacher teams to collaborativ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ely create, administer, analyze</w:t>
            </w:r>
            <w:r w:rsidR="00C35F9D" w:rsidRPr="00BC2696">
              <w:rPr>
                <w:rFonts w:ascii="Arial" w:hAnsi="Arial" w:cs="Arial"/>
                <w:sz w:val="20"/>
                <w:szCs w:val="20"/>
              </w:rPr>
              <w:t xml:space="preserve"> common assessments</w:t>
            </w:r>
            <w:r w:rsidRPr="00BC269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35F9D" w:rsidRPr="00BC2696">
              <w:rPr>
                <w:rFonts w:ascii="Arial" w:hAnsi="Arial" w:cs="Arial"/>
                <w:sz w:val="20"/>
                <w:szCs w:val="20"/>
              </w:rPr>
              <w:t xml:space="preserve">subsequently </w:t>
            </w:r>
            <w:r w:rsidRPr="00BC2696">
              <w:rPr>
                <w:rFonts w:ascii="Arial" w:hAnsi="Arial" w:cs="Arial"/>
                <w:sz w:val="20"/>
                <w:szCs w:val="20"/>
              </w:rPr>
              <w:t>make adjustments to instruction.</w:t>
            </w:r>
          </w:p>
        </w:tc>
      </w:tr>
      <w:tr w:rsidR="00495723" w:rsidRPr="00495723" w:rsidTr="00BC2696">
        <w:trPr>
          <w:trHeight w:val="864"/>
        </w:trPr>
        <w:tc>
          <w:tcPr>
            <w:tcW w:w="4248" w:type="dxa"/>
            <w:vAlign w:val="center"/>
          </w:tcPr>
          <w:p w:rsidR="00397F24" w:rsidRPr="00BC2696" w:rsidRDefault="007578FF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Continue to b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uild and/or identify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high-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quality assessment tools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BC2696">
              <w:rPr>
                <w:rFonts w:ascii="Arial" w:hAnsi="Arial" w:cs="Arial"/>
                <w:sz w:val="20"/>
                <w:szCs w:val="20"/>
              </w:rPr>
              <w:t>for classroom use</w:t>
            </w:r>
            <w:r w:rsidR="00495723" w:rsidRPr="00BC2696">
              <w:rPr>
                <w:rFonts w:ascii="Arial" w:hAnsi="Arial" w:cs="Arial"/>
                <w:sz w:val="20"/>
                <w:szCs w:val="20"/>
              </w:rPr>
              <w:t>, progressing toward a common interim assessment every 6-8 weeks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14" w:type="dxa"/>
            <w:vAlign w:val="center"/>
          </w:tcPr>
          <w:p w:rsidR="00397F24" w:rsidRPr="00BC2696" w:rsidRDefault="00495723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Continue to build and/or identify high- quality assessment tools for classroom use, progressing toward a common interim assessment every 6-8 weeks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6" w:type="dxa"/>
            <w:vAlign w:val="center"/>
          </w:tcPr>
          <w:p w:rsidR="00397F24" w:rsidRPr="00BC2696" w:rsidRDefault="00495723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Continue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 xml:space="preserve"> to build and/or identify high-</w:t>
            </w:r>
            <w:r w:rsidRPr="00BC2696">
              <w:rPr>
                <w:rFonts w:ascii="Arial" w:hAnsi="Arial" w:cs="Arial"/>
                <w:sz w:val="20"/>
                <w:szCs w:val="20"/>
              </w:rPr>
              <w:t>quality assessment tools for classroom use, progressing toward a common interim assessment every 6-8 weeks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7F24" w:rsidRPr="00495723" w:rsidTr="00BC2696">
        <w:trPr>
          <w:trHeight w:val="864"/>
        </w:trPr>
        <w:tc>
          <w:tcPr>
            <w:tcW w:w="4248" w:type="dxa"/>
            <w:vAlign w:val="center"/>
          </w:tcPr>
          <w:p w:rsidR="00397F24" w:rsidRPr="00BC2696" w:rsidRDefault="00397F24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Monitor action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696">
              <w:rPr>
                <w:rFonts w:ascii="Arial" w:hAnsi="Arial" w:cs="Arial"/>
                <w:sz w:val="20"/>
                <w:szCs w:val="20"/>
              </w:rPr>
              <w:t>plan progress and determine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696">
              <w:rPr>
                <w:rFonts w:ascii="Arial" w:hAnsi="Arial" w:cs="Arial"/>
                <w:sz w:val="20"/>
                <w:szCs w:val="20"/>
              </w:rPr>
              <w:t>mid-course corrections in each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BC2696">
              <w:rPr>
                <w:rFonts w:ascii="Arial" w:hAnsi="Arial" w:cs="Arial"/>
                <w:sz w:val="20"/>
                <w:szCs w:val="20"/>
              </w:rPr>
              <w:t>chool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14" w:type="dxa"/>
            <w:vAlign w:val="center"/>
          </w:tcPr>
          <w:p w:rsidR="00397F24" w:rsidRPr="00BC2696" w:rsidRDefault="00397F24" w:rsidP="00BC26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Monitor action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696">
              <w:rPr>
                <w:rFonts w:ascii="Arial" w:hAnsi="Arial" w:cs="Arial"/>
                <w:sz w:val="20"/>
                <w:szCs w:val="20"/>
              </w:rPr>
              <w:t>plan progress and determine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696">
              <w:rPr>
                <w:rFonts w:ascii="Arial" w:hAnsi="Arial" w:cs="Arial"/>
                <w:sz w:val="20"/>
                <w:szCs w:val="20"/>
              </w:rPr>
              <w:t>mid-course corrections in each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BC2696">
              <w:rPr>
                <w:rFonts w:ascii="Arial" w:hAnsi="Arial" w:cs="Arial"/>
                <w:sz w:val="20"/>
                <w:szCs w:val="20"/>
              </w:rPr>
              <w:t>chool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6" w:type="dxa"/>
            <w:vAlign w:val="center"/>
          </w:tcPr>
          <w:p w:rsidR="00397F24" w:rsidRPr="00BC2696" w:rsidRDefault="00397F24" w:rsidP="00BC2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5723" w:rsidRDefault="00495723" w:rsidP="00DC67EC">
      <w:pPr>
        <w:rPr>
          <w:rFonts w:ascii="Arial" w:hAnsi="Arial" w:cs="Arial"/>
        </w:rPr>
      </w:pPr>
    </w:p>
    <w:p w:rsidR="00495723" w:rsidRDefault="0049572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6AC6" w:rsidRPr="00495723" w:rsidRDefault="00926AC6" w:rsidP="00DC67E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4615"/>
        <w:gridCol w:w="4403"/>
      </w:tblGrid>
      <w:tr w:rsidR="00495723" w:rsidRPr="00495723" w:rsidTr="00BC2696">
        <w:tc>
          <w:tcPr>
            <w:tcW w:w="13176" w:type="dxa"/>
            <w:gridSpan w:val="3"/>
            <w:shd w:val="clear" w:color="auto" w:fill="D9D9D9" w:themeFill="background1" w:themeFillShade="D9"/>
          </w:tcPr>
          <w:p w:rsidR="00A162EF" w:rsidRPr="00495723" w:rsidRDefault="00A162EF" w:rsidP="007578F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95723">
              <w:rPr>
                <w:rFonts w:ascii="Arial" w:hAnsi="Arial" w:cs="Arial"/>
                <w:b/>
                <w:sz w:val="32"/>
                <w:szCs w:val="32"/>
              </w:rPr>
              <w:t>Implement New Performance Evaluations for Teachers</w:t>
            </w:r>
            <w:r w:rsidR="00623CB0">
              <w:rPr>
                <w:rFonts w:ascii="Arial" w:hAnsi="Arial" w:cs="Arial"/>
                <w:b/>
                <w:sz w:val="32"/>
                <w:szCs w:val="32"/>
              </w:rPr>
              <w:t xml:space="preserve"> &amp; Leaders</w:t>
            </w:r>
          </w:p>
        </w:tc>
      </w:tr>
      <w:tr w:rsidR="00495723" w:rsidRPr="00495723" w:rsidTr="00BC2696">
        <w:trPr>
          <w:trHeight w:val="288"/>
        </w:trPr>
        <w:tc>
          <w:tcPr>
            <w:tcW w:w="4158" w:type="dxa"/>
            <w:vAlign w:val="center"/>
          </w:tcPr>
          <w:p w:rsidR="00397F24" w:rsidRPr="00495723" w:rsidRDefault="00397F24" w:rsidP="00A94476">
            <w:pPr>
              <w:jc w:val="center"/>
              <w:rPr>
                <w:rFonts w:ascii="Arial" w:hAnsi="Arial" w:cs="Arial"/>
                <w:b/>
              </w:rPr>
            </w:pPr>
            <w:r w:rsidRPr="00495723">
              <w:rPr>
                <w:rFonts w:ascii="Arial" w:hAnsi="Arial" w:cs="Arial"/>
                <w:b/>
              </w:rPr>
              <w:t>Network Team</w:t>
            </w:r>
          </w:p>
        </w:tc>
        <w:tc>
          <w:tcPr>
            <w:tcW w:w="4615" w:type="dxa"/>
            <w:vAlign w:val="center"/>
          </w:tcPr>
          <w:p w:rsidR="00397F24" w:rsidRPr="00495723" w:rsidRDefault="00397F24" w:rsidP="00A94476">
            <w:pPr>
              <w:jc w:val="center"/>
              <w:rPr>
                <w:rFonts w:ascii="Arial" w:hAnsi="Arial" w:cs="Arial"/>
                <w:b/>
              </w:rPr>
            </w:pPr>
            <w:r w:rsidRPr="00495723">
              <w:rPr>
                <w:rFonts w:ascii="Arial" w:hAnsi="Arial" w:cs="Arial"/>
                <w:b/>
              </w:rPr>
              <w:t>Administrators</w:t>
            </w:r>
          </w:p>
        </w:tc>
        <w:tc>
          <w:tcPr>
            <w:tcW w:w="4403" w:type="dxa"/>
            <w:vAlign w:val="center"/>
          </w:tcPr>
          <w:p w:rsidR="00397F24" w:rsidRPr="00495723" w:rsidRDefault="00397F24" w:rsidP="00A94476">
            <w:pPr>
              <w:jc w:val="center"/>
              <w:rPr>
                <w:rFonts w:ascii="Arial" w:hAnsi="Arial" w:cs="Arial"/>
                <w:b/>
              </w:rPr>
            </w:pPr>
            <w:r w:rsidRPr="00495723">
              <w:rPr>
                <w:rFonts w:ascii="Arial" w:hAnsi="Arial" w:cs="Arial"/>
                <w:b/>
              </w:rPr>
              <w:t>Teachers</w:t>
            </w:r>
          </w:p>
        </w:tc>
      </w:tr>
      <w:tr w:rsidR="001278DF" w:rsidRPr="00495723" w:rsidTr="00BC2696">
        <w:trPr>
          <w:trHeight w:val="864"/>
        </w:trPr>
        <w:tc>
          <w:tcPr>
            <w:tcW w:w="4158" w:type="dxa"/>
            <w:vAlign w:val="center"/>
          </w:tcPr>
          <w:p w:rsidR="001278DF" w:rsidRPr="00BC2696" w:rsidRDefault="001278DF" w:rsidP="00BC26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Provide professional development to create awareness, promote understanding, and institute the common language of the NYS Teaching Standards.</w:t>
            </w:r>
          </w:p>
        </w:tc>
        <w:tc>
          <w:tcPr>
            <w:tcW w:w="4615" w:type="dxa"/>
            <w:vAlign w:val="center"/>
          </w:tcPr>
          <w:p w:rsidR="001278DF" w:rsidRPr="00BC2696" w:rsidRDefault="001278DF" w:rsidP="00BC26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Provide opportunities for teachers to receive professional development about the NYS Teaching Standards.</w:t>
            </w:r>
          </w:p>
        </w:tc>
        <w:tc>
          <w:tcPr>
            <w:tcW w:w="4403" w:type="dxa"/>
            <w:vAlign w:val="center"/>
          </w:tcPr>
          <w:p w:rsidR="001278DF" w:rsidRPr="00BC2696" w:rsidRDefault="001278DF" w:rsidP="00BC2696">
            <w:pPr>
              <w:pStyle w:val="ListParagraph"/>
              <w:numPr>
                <w:ilvl w:val="0"/>
                <w:numId w:val="9"/>
              </w:numPr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Learn about and use the common language of the NYS Teaching Standards.</w:t>
            </w:r>
          </w:p>
        </w:tc>
      </w:tr>
      <w:tr w:rsidR="00495723" w:rsidRPr="00495723" w:rsidTr="00BC2696">
        <w:trPr>
          <w:trHeight w:val="864"/>
        </w:trPr>
        <w:tc>
          <w:tcPr>
            <w:tcW w:w="4158" w:type="dxa"/>
            <w:vAlign w:val="center"/>
          </w:tcPr>
          <w:p w:rsidR="00397F24" w:rsidRPr="00BC2696" w:rsidRDefault="00397F24" w:rsidP="00BC26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F02CC1" w:rsidRPr="00BC2696">
              <w:rPr>
                <w:rFonts w:ascii="Arial" w:hAnsi="Arial" w:cs="Arial"/>
                <w:sz w:val="20"/>
                <w:szCs w:val="20"/>
              </w:rPr>
              <w:t xml:space="preserve">ongoing </w:t>
            </w:r>
            <w:r w:rsidRPr="00BC2696">
              <w:rPr>
                <w:rFonts w:ascii="Arial" w:hAnsi="Arial" w:cs="Arial"/>
                <w:sz w:val="20"/>
                <w:szCs w:val="20"/>
              </w:rPr>
              <w:t>training for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696">
              <w:rPr>
                <w:rFonts w:ascii="Arial" w:hAnsi="Arial" w:cs="Arial"/>
                <w:sz w:val="20"/>
                <w:szCs w:val="20"/>
              </w:rPr>
              <w:t>teachers and teacher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696">
              <w:rPr>
                <w:rFonts w:ascii="Arial" w:hAnsi="Arial" w:cs="Arial"/>
                <w:sz w:val="20"/>
                <w:szCs w:val="20"/>
              </w:rPr>
              <w:t>evaluators on evidence-based</w:t>
            </w:r>
            <w:r w:rsidR="00F02CC1" w:rsidRPr="00BC2696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BC2696">
              <w:rPr>
                <w:rFonts w:ascii="Arial" w:hAnsi="Arial" w:cs="Arial"/>
                <w:sz w:val="20"/>
                <w:szCs w:val="20"/>
              </w:rPr>
              <w:t>bservation</w:t>
            </w:r>
            <w:r w:rsidR="00F02CC1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15" w:type="dxa"/>
            <w:vAlign w:val="center"/>
          </w:tcPr>
          <w:p w:rsidR="00397F24" w:rsidRPr="00BC2696" w:rsidRDefault="00DC2503" w:rsidP="00BC2696">
            <w:pPr>
              <w:pStyle w:val="ListParagraph"/>
              <w:numPr>
                <w:ilvl w:val="0"/>
                <w:numId w:val="9"/>
              </w:numPr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Teacher evaluators e</w:t>
            </w:r>
            <w:r w:rsidR="00F02CC1" w:rsidRPr="00BC2696">
              <w:rPr>
                <w:rFonts w:ascii="Arial" w:hAnsi="Arial" w:cs="Arial"/>
                <w:sz w:val="20"/>
                <w:szCs w:val="20"/>
              </w:rPr>
              <w:t>mploy evidence-based observation techniques in order to provide growth-producing feedback to teachers (and comply with APPR plans depending on local implementation dates).</w:t>
            </w:r>
          </w:p>
        </w:tc>
        <w:tc>
          <w:tcPr>
            <w:tcW w:w="4403" w:type="dxa"/>
            <w:vAlign w:val="center"/>
          </w:tcPr>
          <w:p w:rsidR="00397F24" w:rsidRPr="00BC2696" w:rsidRDefault="006363F6" w:rsidP="00BC2696">
            <w:pPr>
              <w:pStyle w:val="ListParagraph"/>
              <w:numPr>
                <w:ilvl w:val="0"/>
                <w:numId w:val="9"/>
              </w:numPr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Participate in performance evaluation system as defined in local APPR plans.</w:t>
            </w:r>
          </w:p>
        </w:tc>
      </w:tr>
      <w:tr w:rsidR="00397F24" w:rsidRPr="00495723" w:rsidTr="00BC2696">
        <w:trPr>
          <w:trHeight w:val="864"/>
        </w:trPr>
        <w:tc>
          <w:tcPr>
            <w:tcW w:w="4158" w:type="dxa"/>
            <w:vAlign w:val="center"/>
          </w:tcPr>
          <w:p w:rsidR="00397F24" w:rsidRPr="00BC2696" w:rsidRDefault="00397F24" w:rsidP="00BC26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F02CC1" w:rsidRPr="00BC2696">
              <w:rPr>
                <w:rFonts w:ascii="Arial" w:hAnsi="Arial" w:cs="Arial"/>
                <w:sz w:val="20"/>
                <w:szCs w:val="20"/>
              </w:rPr>
              <w:t xml:space="preserve">ongoing </w:t>
            </w:r>
            <w:r w:rsidRPr="00BC2696">
              <w:rPr>
                <w:rFonts w:ascii="Arial" w:hAnsi="Arial" w:cs="Arial"/>
                <w:sz w:val="20"/>
                <w:szCs w:val="20"/>
              </w:rPr>
              <w:t>training and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20" w:rsidRPr="00BC2696">
              <w:rPr>
                <w:rFonts w:ascii="Arial" w:hAnsi="Arial" w:cs="Arial"/>
                <w:sz w:val="20"/>
                <w:szCs w:val="20"/>
              </w:rPr>
              <w:t>calibration o</w:t>
            </w:r>
            <w:r w:rsidRPr="00BC2696">
              <w:rPr>
                <w:rFonts w:ascii="Arial" w:hAnsi="Arial" w:cs="Arial"/>
                <w:sz w:val="20"/>
                <w:szCs w:val="20"/>
              </w:rPr>
              <w:t>n approved rubric</w:t>
            </w:r>
            <w:r w:rsidR="00EF15B5" w:rsidRPr="00BC2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696">
              <w:rPr>
                <w:rFonts w:ascii="Arial" w:hAnsi="Arial" w:cs="Arial"/>
                <w:sz w:val="20"/>
                <w:szCs w:val="20"/>
              </w:rPr>
              <w:t>for classroom observations</w:t>
            </w:r>
            <w:r w:rsidR="00413007" w:rsidRPr="00BC2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15" w:type="dxa"/>
            <w:vAlign w:val="center"/>
          </w:tcPr>
          <w:p w:rsidR="00397F24" w:rsidRPr="00BC2696" w:rsidRDefault="00DC2503" w:rsidP="00BC26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Teacher evaluators u</w:t>
            </w:r>
            <w:r w:rsidR="00F02CC1" w:rsidRPr="00BC2696">
              <w:rPr>
                <w:rFonts w:ascii="Arial" w:hAnsi="Arial" w:cs="Arial"/>
                <w:sz w:val="20"/>
                <w:szCs w:val="20"/>
              </w:rPr>
              <w:t>se evidence collected from observations and other sources to identify rubric levels (depending on local APPR considerations).</w:t>
            </w:r>
          </w:p>
        </w:tc>
        <w:tc>
          <w:tcPr>
            <w:tcW w:w="4403" w:type="dxa"/>
            <w:vAlign w:val="center"/>
          </w:tcPr>
          <w:p w:rsidR="00397F24" w:rsidRPr="00BC2696" w:rsidRDefault="006363F6" w:rsidP="00BC2696">
            <w:pPr>
              <w:pStyle w:val="ListParagraph"/>
              <w:numPr>
                <w:ilvl w:val="0"/>
                <w:numId w:val="9"/>
              </w:numPr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Participate in performance evaluation system as defined in local APPR plans.</w:t>
            </w:r>
          </w:p>
        </w:tc>
      </w:tr>
      <w:tr w:rsidR="00305EFF" w:rsidRPr="00495723" w:rsidTr="00BC2696">
        <w:trPr>
          <w:trHeight w:val="864"/>
        </w:trPr>
        <w:tc>
          <w:tcPr>
            <w:tcW w:w="4158" w:type="dxa"/>
            <w:vAlign w:val="center"/>
          </w:tcPr>
          <w:p w:rsidR="00305EFF" w:rsidRPr="00BC2696" w:rsidRDefault="00305EFF" w:rsidP="00BC26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Provide ongoing training for teacher evaluators on all nine of the required components described in 3012-c.</w:t>
            </w:r>
          </w:p>
        </w:tc>
        <w:tc>
          <w:tcPr>
            <w:tcW w:w="4615" w:type="dxa"/>
            <w:vAlign w:val="center"/>
          </w:tcPr>
          <w:p w:rsidR="00305EFF" w:rsidRPr="00BC2696" w:rsidRDefault="00DC2503" w:rsidP="00BC2696">
            <w:pPr>
              <w:pStyle w:val="ListParagraph"/>
              <w:numPr>
                <w:ilvl w:val="0"/>
                <w:numId w:val="9"/>
              </w:numPr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 xml:space="preserve">Lead Evaluators (of teachers) </w:t>
            </w:r>
            <w:r w:rsidR="00413007" w:rsidRPr="00BC2696">
              <w:rPr>
                <w:rFonts w:ascii="Arial" w:hAnsi="Arial" w:cs="Arial"/>
                <w:sz w:val="20"/>
                <w:szCs w:val="20"/>
              </w:rPr>
              <w:t>participate</w:t>
            </w:r>
            <w:r w:rsidR="00305EFF" w:rsidRPr="00BC2696">
              <w:rPr>
                <w:rFonts w:ascii="Arial" w:hAnsi="Arial" w:cs="Arial"/>
                <w:sz w:val="20"/>
                <w:szCs w:val="20"/>
              </w:rPr>
              <w:t xml:space="preserve"> in training of all nine of the required components in order to be certified to conduct teacher evaluations by the local governing agency (depending on local APPR considerations).</w:t>
            </w:r>
          </w:p>
        </w:tc>
        <w:tc>
          <w:tcPr>
            <w:tcW w:w="4403" w:type="dxa"/>
            <w:vAlign w:val="center"/>
          </w:tcPr>
          <w:p w:rsidR="00305EFF" w:rsidRPr="00BC2696" w:rsidRDefault="00305EFF" w:rsidP="00BC2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EFF" w:rsidRPr="00495723" w:rsidTr="00BC2696">
        <w:trPr>
          <w:trHeight w:val="864"/>
        </w:trPr>
        <w:tc>
          <w:tcPr>
            <w:tcW w:w="4158" w:type="dxa"/>
            <w:vAlign w:val="center"/>
          </w:tcPr>
          <w:p w:rsidR="00305EFF" w:rsidRPr="00BC2696" w:rsidRDefault="00305EFF" w:rsidP="00BC26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Provide ongoing training for principals and principal evaluators on evidence-based evaluation.</w:t>
            </w:r>
          </w:p>
        </w:tc>
        <w:tc>
          <w:tcPr>
            <w:tcW w:w="4615" w:type="dxa"/>
            <w:vAlign w:val="center"/>
          </w:tcPr>
          <w:p w:rsidR="00305EFF" w:rsidRPr="00BC2696" w:rsidRDefault="00DC2503" w:rsidP="00BC2696">
            <w:pPr>
              <w:pStyle w:val="ListParagraph"/>
              <w:numPr>
                <w:ilvl w:val="0"/>
                <w:numId w:val="9"/>
              </w:numPr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Principal evaluators e</w:t>
            </w:r>
            <w:r w:rsidR="00305EFF" w:rsidRPr="00BC2696">
              <w:rPr>
                <w:rFonts w:ascii="Arial" w:hAnsi="Arial" w:cs="Arial"/>
                <w:sz w:val="20"/>
                <w:szCs w:val="20"/>
              </w:rPr>
              <w:t>mploy evidence-based observation techniques and evidence gathering techniques in order to provide growth-producing feedback to principals (and comply with APPR plans depending on local implementation dates).</w:t>
            </w:r>
          </w:p>
        </w:tc>
        <w:tc>
          <w:tcPr>
            <w:tcW w:w="4403" w:type="dxa"/>
            <w:vAlign w:val="center"/>
          </w:tcPr>
          <w:p w:rsidR="00305EFF" w:rsidRPr="00BC2696" w:rsidRDefault="00305EFF" w:rsidP="00BC2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EFF" w:rsidRPr="00495723" w:rsidTr="00BC2696">
        <w:trPr>
          <w:trHeight w:val="864"/>
        </w:trPr>
        <w:tc>
          <w:tcPr>
            <w:tcW w:w="4158" w:type="dxa"/>
            <w:vAlign w:val="center"/>
          </w:tcPr>
          <w:p w:rsidR="00305EFF" w:rsidRPr="00BC2696" w:rsidRDefault="00305EFF" w:rsidP="00BC26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Provide ongoing training and calibration on approved rubric for principal evaluation.</w:t>
            </w:r>
          </w:p>
        </w:tc>
        <w:tc>
          <w:tcPr>
            <w:tcW w:w="4615" w:type="dxa"/>
            <w:vAlign w:val="center"/>
          </w:tcPr>
          <w:p w:rsidR="00305EFF" w:rsidRPr="00BC2696" w:rsidRDefault="00DC2503" w:rsidP="00BC26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Principal evaluators u</w:t>
            </w:r>
            <w:r w:rsidR="00305EFF" w:rsidRPr="00BC2696">
              <w:rPr>
                <w:rFonts w:ascii="Arial" w:hAnsi="Arial" w:cs="Arial"/>
                <w:sz w:val="20"/>
                <w:szCs w:val="20"/>
              </w:rPr>
              <w:t>se evidence collected from observations and other sources to identify rubric levels (depending on local APPR considerations).</w:t>
            </w:r>
          </w:p>
        </w:tc>
        <w:tc>
          <w:tcPr>
            <w:tcW w:w="4403" w:type="dxa"/>
            <w:vAlign w:val="center"/>
          </w:tcPr>
          <w:p w:rsidR="00305EFF" w:rsidRPr="00BC2696" w:rsidRDefault="00305EFF" w:rsidP="00BC2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EFF" w:rsidRPr="00495723" w:rsidTr="00BC2696">
        <w:trPr>
          <w:trHeight w:val="864"/>
        </w:trPr>
        <w:tc>
          <w:tcPr>
            <w:tcW w:w="4158" w:type="dxa"/>
            <w:vAlign w:val="center"/>
          </w:tcPr>
          <w:p w:rsidR="00305EFF" w:rsidRPr="00BC2696" w:rsidRDefault="00305EFF" w:rsidP="00BC26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Provide ongoing training for principal evaluators on all nine of the required components described in 3012-c.</w:t>
            </w:r>
          </w:p>
        </w:tc>
        <w:tc>
          <w:tcPr>
            <w:tcW w:w="4615" w:type="dxa"/>
            <w:vAlign w:val="center"/>
          </w:tcPr>
          <w:p w:rsidR="00305EFF" w:rsidRPr="00BC2696" w:rsidRDefault="00DC2503" w:rsidP="00BC2696">
            <w:pPr>
              <w:pStyle w:val="ListParagraph"/>
              <w:numPr>
                <w:ilvl w:val="0"/>
                <w:numId w:val="9"/>
              </w:numPr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C2696">
              <w:rPr>
                <w:rFonts w:ascii="Arial" w:hAnsi="Arial" w:cs="Arial"/>
                <w:sz w:val="20"/>
                <w:szCs w:val="20"/>
              </w:rPr>
              <w:t>Principal evaluators p</w:t>
            </w:r>
            <w:r w:rsidR="00305EFF" w:rsidRPr="00BC2696">
              <w:rPr>
                <w:rFonts w:ascii="Arial" w:hAnsi="Arial" w:cs="Arial"/>
                <w:sz w:val="20"/>
                <w:szCs w:val="20"/>
              </w:rPr>
              <w:t xml:space="preserve">articipate in training of all nine of the required components in order to be certified to conduct </w:t>
            </w:r>
            <w:r w:rsidRPr="00BC2696">
              <w:rPr>
                <w:rFonts w:ascii="Arial" w:hAnsi="Arial" w:cs="Arial"/>
                <w:sz w:val="20"/>
                <w:szCs w:val="20"/>
              </w:rPr>
              <w:t>principal</w:t>
            </w:r>
            <w:r w:rsidR="00305EFF" w:rsidRPr="00BC2696">
              <w:rPr>
                <w:rFonts w:ascii="Arial" w:hAnsi="Arial" w:cs="Arial"/>
                <w:sz w:val="20"/>
                <w:szCs w:val="20"/>
              </w:rPr>
              <w:t xml:space="preserve"> evaluations by the local governing agency (depending on local APPR considerations).</w:t>
            </w:r>
          </w:p>
        </w:tc>
        <w:tc>
          <w:tcPr>
            <w:tcW w:w="4403" w:type="dxa"/>
            <w:vAlign w:val="center"/>
          </w:tcPr>
          <w:p w:rsidR="00305EFF" w:rsidRPr="00BC2696" w:rsidRDefault="00305EFF" w:rsidP="00BC2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2EF" w:rsidRPr="00495723" w:rsidRDefault="00A162EF" w:rsidP="00DC67EC">
      <w:pPr>
        <w:rPr>
          <w:rFonts w:ascii="Arial" w:hAnsi="Arial" w:cs="Arial"/>
        </w:rPr>
      </w:pPr>
    </w:p>
    <w:sectPr w:rsidR="00A162EF" w:rsidRPr="00495723" w:rsidSect="0096104E">
      <w:headerReference w:type="default" r:id="rId8"/>
      <w:footerReference w:type="default" r:id="rId9"/>
      <w:pgSz w:w="15840" w:h="12240" w:orient="landscape" w:code="1"/>
      <w:pgMar w:top="864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F6" w:rsidRDefault="009B55F6" w:rsidP="0052379E">
      <w:pPr>
        <w:spacing w:after="0" w:line="240" w:lineRule="auto"/>
      </w:pPr>
      <w:r>
        <w:separator/>
      </w:r>
    </w:p>
  </w:endnote>
  <w:endnote w:type="continuationSeparator" w:id="0">
    <w:p w:rsidR="009B55F6" w:rsidRDefault="009B55F6" w:rsidP="0052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F6" w:rsidRPr="00104A65" w:rsidRDefault="009B55F6" w:rsidP="00104A65">
    <w:pPr>
      <w:pStyle w:val="Footer"/>
      <w:jc w:val="right"/>
      <w:rPr>
        <w:rFonts w:ascii="Arial" w:hAnsi="Arial" w:cs="Arial"/>
        <w:i/>
        <w:sz w:val="18"/>
        <w:szCs w:val="18"/>
      </w:rPr>
    </w:pPr>
    <w:r w:rsidRPr="00104A65">
      <w:rPr>
        <w:rFonts w:ascii="Arial" w:hAnsi="Arial" w:cs="Arial"/>
        <w:i/>
        <w:sz w:val="18"/>
        <w:szCs w:val="18"/>
      </w:rPr>
      <w:t>Based on “Deliverables, Metrics, and Evidence for School Year 11-12” retrieved</w:t>
    </w:r>
    <w:r>
      <w:rPr>
        <w:rFonts w:ascii="Arial" w:hAnsi="Arial" w:cs="Arial"/>
        <w:i/>
        <w:sz w:val="18"/>
        <w:szCs w:val="18"/>
      </w:rPr>
      <w:t xml:space="preserve"> from e</w:t>
    </w:r>
    <w:r w:rsidRPr="00104A65">
      <w:rPr>
        <w:rFonts w:ascii="Arial" w:hAnsi="Arial" w:cs="Arial"/>
        <w:i/>
        <w:sz w:val="18"/>
        <w:szCs w:val="18"/>
      </w:rPr>
      <w:t>n</w:t>
    </w:r>
    <w:r>
      <w:rPr>
        <w:rFonts w:ascii="Arial" w:hAnsi="Arial" w:cs="Arial"/>
        <w:i/>
        <w:sz w:val="18"/>
        <w:szCs w:val="18"/>
      </w:rPr>
      <w:t>g</w:t>
    </w:r>
    <w:r w:rsidRPr="00104A65">
      <w:rPr>
        <w:rFonts w:ascii="Arial" w:hAnsi="Arial" w:cs="Arial"/>
        <w:i/>
        <w:sz w:val="18"/>
        <w:szCs w:val="18"/>
      </w:rPr>
      <w:t>ageNY.org.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F6" w:rsidRDefault="009B55F6" w:rsidP="0052379E">
      <w:pPr>
        <w:spacing w:after="0" w:line="240" w:lineRule="auto"/>
      </w:pPr>
      <w:r>
        <w:separator/>
      </w:r>
    </w:p>
  </w:footnote>
  <w:footnote w:type="continuationSeparator" w:id="0">
    <w:p w:rsidR="009B55F6" w:rsidRDefault="009B55F6" w:rsidP="0052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F6" w:rsidRPr="003B223C" w:rsidRDefault="009B55F6" w:rsidP="0052379E">
    <w:pPr>
      <w:pStyle w:val="Header"/>
      <w:jc w:val="center"/>
      <w:rPr>
        <w:rFonts w:ascii="Gill Sans MT" w:hAnsi="Gill Sans MT"/>
        <w:sz w:val="36"/>
        <w:szCs w:val="48"/>
      </w:rPr>
    </w:pPr>
    <w:r w:rsidRPr="003B223C">
      <w:rPr>
        <w:rFonts w:ascii="Gill Sans MT" w:hAnsi="Gill Sans MT"/>
        <w:i/>
        <w:noProof/>
        <w:sz w:val="36"/>
        <w:szCs w:val="48"/>
      </w:rPr>
      <w:drawing>
        <wp:anchor distT="0" distB="0" distL="114300" distR="114300" simplePos="0" relativeHeight="251658240" behindDoc="1" locked="0" layoutInCell="1" allowOverlap="1" wp14:anchorId="6B242AA5" wp14:editId="6584F972">
          <wp:simplePos x="0" y="0"/>
          <wp:positionH relativeFrom="column">
            <wp:posOffset>6781800</wp:posOffset>
          </wp:positionH>
          <wp:positionV relativeFrom="paragraph">
            <wp:posOffset>-171450</wp:posOffset>
          </wp:positionV>
          <wp:extent cx="2020570" cy="4933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223C">
      <w:rPr>
        <w:rFonts w:ascii="Gill Sans MT" w:hAnsi="Gill Sans MT"/>
        <w:sz w:val="36"/>
        <w:szCs w:val="48"/>
      </w:rPr>
      <w:t>Race to the Top Expectations &amp; Responsibilities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AD3"/>
    <w:multiLevelType w:val="hybridMultilevel"/>
    <w:tmpl w:val="8A7A03DC"/>
    <w:lvl w:ilvl="0" w:tplc="4BCE71F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C6183"/>
    <w:multiLevelType w:val="hybridMultilevel"/>
    <w:tmpl w:val="3C58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92989"/>
    <w:multiLevelType w:val="hybridMultilevel"/>
    <w:tmpl w:val="65B67710"/>
    <w:lvl w:ilvl="0" w:tplc="CDDC197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CB2A2E"/>
    <w:multiLevelType w:val="hybridMultilevel"/>
    <w:tmpl w:val="D5081834"/>
    <w:lvl w:ilvl="0" w:tplc="11042A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575FC"/>
    <w:multiLevelType w:val="hybridMultilevel"/>
    <w:tmpl w:val="2EF4CA28"/>
    <w:lvl w:ilvl="0" w:tplc="4BCE71F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4A7B8A"/>
    <w:multiLevelType w:val="hybridMultilevel"/>
    <w:tmpl w:val="6158D6B6"/>
    <w:lvl w:ilvl="0" w:tplc="4BCE71F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67062"/>
    <w:multiLevelType w:val="hybridMultilevel"/>
    <w:tmpl w:val="824C1C72"/>
    <w:lvl w:ilvl="0" w:tplc="CDDC197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B5E4A"/>
    <w:multiLevelType w:val="hybridMultilevel"/>
    <w:tmpl w:val="249E1444"/>
    <w:lvl w:ilvl="0" w:tplc="CDDC197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E12BD"/>
    <w:multiLevelType w:val="hybridMultilevel"/>
    <w:tmpl w:val="4440E130"/>
    <w:lvl w:ilvl="0" w:tplc="72243B72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9A"/>
    <w:rsid w:val="000B4C4C"/>
    <w:rsid w:val="000B66C2"/>
    <w:rsid w:val="00104A65"/>
    <w:rsid w:val="00126E93"/>
    <w:rsid w:val="001278DF"/>
    <w:rsid w:val="0017681A"/>
    <w:rsid w:val="00305EFF"/>
    <w:rsid w:val="00397F24"/>
    <w:rsid w:val="003B223C"/>
    <w:rsid w:val="003D5C1C"/>
    <w:rsid w:val="00413007"/>
    <w:rsid w:val="00495723"/>
    <w:rsid w:val="0052379E"/>
    <w:rsid w:val="005829F9"/>
    <w:rsid w:val="005945F6"/>
    <w:rsid w:val="005C7E92"/>
    <w:rsid w:val="00623CB0"/>
    <w:rsid w:val="006363F6"/>
    <w:rsid w:val="006A062B"/>
    <w:rsid w:val="006A4F93"/>
    <w:rsid w:val="00704AD1"/>
    <w:rsid w:val="007578FF"/>
    <w:rsid w:val="007A040C"/>
    <w:rsid w:val="00807766"/>
    <w:rsid w:val="008661BF"/>
    <w:rsid w:val="00875930"/>
    <w:rsid w:val="008F12DA"/>
    <w:rsid w:val="00926AC6"/>
    <w:rsid w:val="0096104E"/>
    <w:rsid w:val="00965AFB"/>
    <w:rsid w:val="009B55F6"/>
    <w:rsid w:val="00A162EF"/>
    <w:rsid w:val="00A94476"/>
    <w:rsid w:val="00AB1920"/>
    <w:rsid w:val="00AE41B0"/>
    <w:rsid w:val="00B07E91"/>
    <w:rsid w:val="00BC2696"/>
    <w:rsid w:val="00C35F9D"/>
    <w:rsid w:val="00CE3105"/>
    <w:rsid w:val="00D562DC"/>
    <w:rsid w:val="00DC2503"/>
    <w:rsid w:val="00DC67EC"/>
    <w:rsid w:val="00DF3795"/>
    <w:rsid w:val="00EF15B5"/>
    <w:rsid w:val="00F02CC1"/>
    <w:rsid w:val="00F3533E"/>
    <w:rsid w:val="00F5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A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79E"/>
  </w:style>
  <w:style w:type="paragraph" w:styleId="Footer">
    <w:name w:val="footer"/>
    <w:basedOn w:val="Normal"/>
    <w:link w:val="FooterChar"/>
    <w:uiPriority w:val="99"/>
    <w:unhideWhenUsed/>
    <w:rsid w:val="00523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79E"/>
  </w:style>
  <w:style w:type="paragraph" w:styleId="BalloonText">
    <w:name w:val="Balloon Text"/>
    <w:basedOn w:val="Normal"/>
    <w:link w:val="BalloonTextChar"/>
    <w:uiPriority w:val="99"/>
    <w:semiHidden/>
    <w:unhideWhenUsed/>
    <w:rsid w:val="000B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A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79E"/>
  </w:style>
  <w:style w:type="paragraph" w:styleId="Footer">
    <w:name w:val="footer"/>
    <w:basedOn w:val="Normal"/>
    <w:link w:val="FooterChar"/>
    <w:uiPriority w:val="99"/>
    <w:unhideWhenUsed/>
    <w:rsid w:val="00523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79E"/>
  </w:style>
  <w:style w:type="paragraph" w:styleId="BalloonText">
    <w:name w:val="Balloon Text"/>
    <w:basedOn w:val="Normal"/>
    <w:link w:val="BalloonTextChar"/>
    <w:uiPriority w:val="99"/>
    <w:semiHidden/>
    <w:unhideWhenUsed/>
    <w:rsid w:val="000B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Mastroleo</dc:creator>
  <cp:lastModifiedBy>Jeff Craig</cp:lastModifiedBy>
  <cp:revision>4</cp:revision>
  <cp:lastPrinted>2012-03-29T14:28:00Z</cp:lastPrinted>
  <dcterms:created xsi:type="dcterms:W3CDTF">2012-03-29T14:27:00Z</dcterms:created>
  <dcterms:modified xsi:type="dcterms:W3CDTF">2012-03-29T14:34:00Z</dcterms:modified>
</cp:coreProperties>
</file>